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jc w:val="left"/>
        <w:textAlignment w:val="auto"/>
        <w:rPr>
          <w:rFonts w:ascii="黑体" w:hAnsi="黑体" w:eastAsia="黑体" w:cs="Times New Roman"/>
        </w:rPr>
      </w:pPr>
      <w:r>
        <w:rPr>
          <w:rFonts w:ascii="黑体" w:hAnsi="黑体" w:eastAsia="黑体" w:cs="Times New Roman"/>
        </w:rPr>
        <w:t>ICS 35.020</w:t>
      </w:r>
      <w:r>
        <w:rPr>
          <w:rFonts w:ascii="黑体" w:hAnsi="黑体" w:eastAsia="黑体" w:cs="Times New Roman"/>
        </w:rPr>
        <mc:AlternateContent>
          <mc:Choice Requires="wps">
            <w:drawing>
              <wp:anchor distT="0" distB="0" distL="114300" distR="114300" simplePos="0" relativeHeight="25166950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3696970" cy="792480"/>
                        </a:xfrm>
                        <a:prstGeom prst="rect">
                          <a:avLst/>
                        </a:prstGeom>
                        <a:noFill/>
                        <a:ln>
                          <a:noFill/>
                        </a:ln>
                      </wps:spPr>
                      <wps:txbx>
                        <w:txbxContent>
                          <w:p>
                            <w:pPr>
                              <w:pStyle w:val="31"/>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false" upright="true">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69504;mso-width-relative:page;mso-height-relative:page;" filled="f" stroked="f" coordsize="21600,21600" o:gfxdata="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Hp1+O7YAAAACwEAAA8AAAAAAAAAAQAgAAAAOAAA&#10;AGRycy9kb3ducmV2LnhtbFBLAQIUABQAAAAIAIdO4kDM3w308gEAANMDAAAOAAAAAAAAAAEAIAAA&#10;AD0BAABkcnMvZTJvRG9jLnhtbFBLBQYAAAAABgAGAFkBAAChBQAAAAA=&#10;">
                <v:fill on="f" focussize="0,0"/>
                <v:stroke on="f"/>
                <v:imagedata o:title=""/>
                <o:lock v:ext="edit" aspectratio="f"/>
                <v:textbox style="mso-fit-shape-to-text:t;">
                  <w:txbxContent>
                    <w:p>
                      <w:pPr>
                        <w:pStyle w:val="31"/>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ind w:firstLine="0"/>
        <w:textAlignment w:val="auto"/>
        <w:rPr>
          <w:rFonts w:ascii="黑体" w:hAnsi="黑体" w:eastAsia="黑体" w:cs="Times New Roman"/>
        </w:rPr>
      </w:pPr>
      <w:r>
        <w:rPr>
          <w:rFonts w:ascii="黑体" w:hAnsi="黑体" w:eastAsia="黑体" w:cs="Times New Roman"/>
        </w:rPr>
        <w:t>CCS L 09</w:t>
      </w:r>
    </w:p>
    <w:p>
      <w:pPr>
        <w:ind w:firstLine="420"/>
        <w:rPr>
          <w:rFonts w:ascii="黑体" w:hAnsi="黑体" w:eastAsia="黑体"/>
        </w:rPr>
      </w:pPr>
    </w:p>
    <w:p>
      <w:pPr>
        <w:autoSpaceDE w:val="0"/>
        <w:autoSpaceDN w:val="0"/>
        <w:adjustRightInd w:val="0"/>
        <w:ind w:firstLine="42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true">
                        <a:spLocks noChangeArrowheads="true"/>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false" upright="true">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1312;mso-width-relative:page;mso-height-relative:page;" filled="f" stroked="f" coordsize="21600,21600" o:gfxdata="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p6icQ9gAAAAKAQAA&#10;DwAAAAAAAAABACAAAAA4AAAAZHJzL2Rvd25yZXYueG1sUEsBAhQAFAAAAAgAh07iQGuVgo4DAgAA&#10;8QMAAA4AAAAAAAAAAQAgAAAAPQEAAGRycy9lMm9Eb2MueG1sUEsFBgAAAAAGAAYAWQEAALIFAAAA&#10;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ind w:firstLine="420"/>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keepNext w:val="0"/>
        <w:keepLines w:val="0"/>
        <w:pageBreakBefore w:val="0"/>
        <w:widowControl w:val="0"/>
        <w:kinsoku/>
        <w:wordWrap/>
        <w:overflowPunct/>
        <w:topLinePunct w:val="0"/>
        <w:autoSpaceDE w:val="0"/>
        <w:autoSpaceDN w:val="0"/>
        <w:bidi w:val="0"/>
        <w:adjustRightInd w:val="0"/>
        <w:snapToGrid/>
        <w:spacing w:line="3686" w:lineRule="exact"/>
        <w:jc w:val="center"/>
        <w:textAlignment w:val="auto"/>
        <w:rPr>
          <w:rFonts w:ascii="黑体" w:hAnsi="黑体" w:eastAsia="黑体"/>
        </w:rPr>
      </w:pP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-139065</wp:posOffset>
                </wp:positionH>
                <wp:positionV relativeFrom="topMargin">
                  <wp:posOffset>4145280</wp:posOffset>
                </wp:positionV>
                <wp:extent cx="6363335" cy="3248025"/>
                <wp:effectExtent l="0" t="0" r="0" b="0"/>
                <wp:wrapNone/>
                <wp:docPr id="4" name="Text Box 17"/>
                <wp:cNvGraphicFramePr/>
                <a:graphic xmlns:a="http://schemas.openxmlformats.org/drawingml/2006/main">
                  <a:graphicData uri="http://schemas.microsoft.com/office/word/2010/wordprocessingShape">
                    <wps:wsp>
                      <wps:cNvSpPr txBox="true">
                        <a:spLocks noChangeArrowheads="true"/>
                      </wps:cNvSpPr>
                      <wps:spPr bwMode="auto">
                        <a:xfrm>
                          <a:off x="0" y="0"/>
                          <a:ext cx="6363335" cy="3248025"/>
                        </a:xfrm>
                        <a:prstGeom prst="rect">
                          <a:avLst/>
                        </a:prstGeom>
                        <a:noFill/>
                        <a:ln w="0">
                          <a:noFill/>
                          <a:miter lim="800000"/>
                        </a:ln>
                      </wps:spPr>
                      <wps:txbx>
                        <w:txbxContent>
                          <w:p>
                            <w:pPr>
                              <w:keepNext w:val="0"/>
                              <w:keepLines w:val="0"/>
                              <w:pageBreakBefore w:val="0"/>
                              <w:widowControl w:val="0"/>
                              <w:kinsoku/>
                              <w:wordWrap/>
                              <w:overflowPunct/>
                              <w:topLinePunct w:val="0"/>
                              <w:bidi w:val="0"/>
                              <w:adjustRightInd/>
                              <w:snapToGrid/>
                              <w:jc w:val="center"/>
                              <w:textAlignment w:val="auto"/>
                              <w:rPr>
                                <w:rFonts w:ascii="黑体" w:hAnsi="宋体" w:eastAsia="黑体"/>
                                <w:sz w:val="52"/>
                                <w:szCs w:val="52"/>
                              </w:rPr>
                            </w:pPr>
                            <w:r>
                              <w:rPr>
                                <w:rFonts w:hint="eastAsia" w:ascii="黑体" w:hAnsi="宋体" w:eastAsia="黑体"/>
                                <w:sz w:val="52"/>
                                <w:szCs w:val="52"/>
                              </w:rPr>
                              <w:t>医疗机构数据分类分级规范</w:t>
                            </w:r>
                          </w:p>
                          <w:p>
                            <w:pPr>
                              <w:jc w:val="center"/>
                            </w:pPr>
                            <w:r>
                              <w:rPr>
                                <w:rFonts w:hint="eastAsia" w:ascii="黑体" w:hAnsi="黑体" w:eastAsia="黑体"/>
                                <w:kern w:val="0"/>
                                <w:sz w:val="28"/>
                                <w:szCs w:val="21"/>
                              </w:rPr>
                              <w:t>Specification</w:t>
                            </w:r>
                            <w:r>
                              <w:rPr>
                                <w:rFonts w:hint="eastAsia" w:ascii="黑体" w:hAnsi="黑体" w:eastAsia="黑体"/>
                                <w:kern w:val="0"/>
                                <w:sz w:val="28"/>
                                <w:szCs w:val="21"/>
                                <w:lang w:val="en-US" w:eastAsia="zh-CN"/>
                              </w:rPr>
                              <w:t xml:space="preserve"> </w:t>
                            </w:r>
                            <w:r>
                              <w:rPr>
                                <w:rFonts w:hint="eastAsia" w:ascii="黑体" w:hAnsi="黑体" w:eastAsia="黑体"/>
                                <w:kern w:val="0"/>
                                <w:sz w:val="28"/>
                                <w:szCs w:val="21"/>
                              </w:rPr>
                              <w:t xml:space="preserve">for </w:t>
                            </w:r>
                            <w:r>
                              <w:rPr>
                                <w:rFonts w:ascii="黑体" w:hAnsi="黑体" w:eastAsia="黑体"/>
                                <w:kern w:val="0"/>
                                <w:sz w:val="28"/>
                                <w:szCs w:val="21"/>
                              </w:rPr>
                              <w:t>data c</w:t>
                            </w:r>
                            <w:r>
                              <w:rPr>
                                <w:rFonts w:hint="eastAsia" w:ascii="黑体" w:hAnsi="黑体" w:eastAsia="黑体"/>
                                <w:kern w:val="0"/>
                                <w:sz w:val="28"/>
                                <w:szCs w:val="21"/>
                              </w:rPr>
                              <w:t>lassification and grading</w:t>
                            </w:r>
                            <w:r>
                              <w:rPr>
                                <w:rFonts w:ascii="黑体" w:hAnsi="黑体" w:eastAsia="黑体"/>
                                <w:kern w:val="0"/>
                                <w:sz w:val="28"/>
                                <w:szCs w:val="21"/>
                              </w:rPr>
                              <w:t xml:space="preserve"> of </w:t>
                            </w:r>
                            <w:r>
                              <w:rPr>
                                <w:rFonts w:hint="eastAsia" w:ascii="黑体" w:hAnsi="黑体" w:eastAsia="黑体"/>
                                <w:kern w:val="0"/>
                                <w:sz w:val="28"/>
                                <w:szCs w:val="21"/>
                              </w:rPr>
                              <w:t>medicalinstitution</w:t>
                            </w:r>
                          </w:p>
                        </w:txbxContent>
                      </wps:txbx>
                      <wps:bodyPr rot="0" vert="horz" wrap="square" lIns="91440" tIns="45720" rIns="91440" bIns="45720" anchor="t" anchorCtr="false" upright="true">
                        <a:noAutofit/>
                      </wps:bodyPr>
                    </wps:wsp>
                  </a:graphicData>
                </a:graphic>
              </wp:anchor>
            </w:drawing>
          </mc:Choice>
          <mc:Fallback>
            <w:pict>
              <v:shape id="Text Box 17" o:spid="_x0000_s1026" o:spt="202" type="#_x0000_t202" style="position:absolute;left:0pt;margin-left:59.95pt;margin-top:326.4pt;height:255.75pt;width:501.05pt;mso-position-horizontal-relative:page;mso-position-vertical-relative:page;z-index:251660288;mso-width-relative:page;mso-height-relative:page;" filled="f" stroked="f" coordsize="21600,21600" o:gfxdata="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sNoCTdsAAAAM&#10;AQAADwAAAAAAAAABACAAAAA4AAAAZHJzL2Rvd25yZXYueG1sUEsBAhQAFAAAAAgAh07iQJSxHUkD&#10;AgAA8gMAAA4AAAAAAAAAAQAgAAAAQAEAAGRycy9lMm9Eb2MueG1sUEsFBgAAAAAGAAYAWQEAALUF&#10;AAAAAA==&#10;">
                <v:fill on="f" focussize="0,0"/>
                <v:stroke on="f" weight="0pt" miterlimit="8" joinstyle="miter"/>
                <v:imagedata o:title=""/>
                <o:lock v:ext="edit" aspectratio="f"/>
                <v:textbox>
                  <w:txbxContent>
                    <w:p>
                      <w:pPr>
                        <w:keepNext w:val="0"/>
                        <w:keepLines w:val="0"/>
                        <w:pageBreakBefore w:val="0"/>
                        <w:widowControl w:val="0"/>
                        <w:kinsoku/>
                        <w:wordWrap/>
                        <w:overflowPunct/>
                        <w:topLinePunct w:val="0"/>
                        <w:bidi w:val="0"/>
                        <w:adjustRightInd/>
                        <w:snapToGrid/>
                        <w:jc w:val="center"/>
                        <w:textAlignment w:val="auto"/>
                        <w:rPr>
                          <w:rFonts w:ascii="黑体" w:hAnsi="宋体" w:eastAsia="黑体"/>
                          <w:sz w:val="52"/>
                          <w:szCs w:val="52"/>
                        </w:rPr>
                      </w:pPr>
                      <w:r>
                        <w:rPr>
                          <w:rFonts w:hint="eastAsia" w:ascii="黑体" w:hAnsi="宋体" w:eastAsia="黑体"/>
                          <w:sz w:val="52"/>
                          <w:szCs w:val="52"/>
                        </w:rPr>
                        <w:t>医疗机构数据分类分级规范</w:t>
                      </w:r>
                    </w:p>
                    <w:p>
                      <w:pPr>
                        <w:jc w:val="center"/>
                      </w:pPr>
                      <w:r>
                        <w:rPr>
                          <w:rFonts w:hint="eastAsia" w:ascii="黑体" w:hAnsi="黑体" w:eastAsia="黑体"/>
                          <w:kern w:val="0"/>
                          <w:sz w:val="28"/>
                          <w:szCs w:val="21"/>
                        </w:rPr>
                        <w:t>Specification</w:t>
                      </w:r>
                      <w:r>
                        <w:rPr>
                          <w:rFonts w:hint="eastAsia" w:ascii="黑体" w:hAnsi="黑体" w:eastAsia="黑体"/>
                          <w:kern w:val="0"/>
                          <w:sz w:val="28"/>
                          <w:szCs w:val="21"/>
                          <w:lang w:val="en-US" w:eastAsia="zh-CN"/>
                        </w:rPr>
                        <w:t xml:space="preserve"> </w:t>
                      </w:r>
                      <w:r>
                        <w:rPr>
                          <w:rFonts w:hint="eastAsia" w:ascii="黑体" w:hAnsi="黑体" w:eastAsia="黑体"/>
                          <w:kern w:val="0"/>
                          <w:sz w:val="28"/>
                          <w:szCs w:val="21"/>
                        </w:rPr>
                        <w:t xml:space="preserve">for </w:t>
                      </w:r>
                      <w:r>
                        <w:rPr>
                          <w:rFonts w:ascii="黑体" w:hAnsi="黑体" w:eastAsia="黑体"/>
                          <w:kern w:val="0"/>
                          <w:sz w:val="28"/>
                          <w:szCs w:val="21"/>
                        </w:rPr>
                        <w:t>data c</w:t>
                      </w:r>
                      <w:r>
                        <w:rPr>
                          <w:rFonts w:hint="eastAsia" w:ascii="黑体" w:hAnsi="黑体" w:eastAsia="黑体"/>
                          <w:kern w:val="0"/>
                          <w:sz w:val="28"/>
                          <w:szCs w:val="21"/>
                        </w:rPr>
                        <w:t>lassification and grading</w:t>
                      </w:r>
                      <w:r>
                        <w:rPr>
                          <w:rFonts w:ascii="黑体" w:hAnsi="黑体" w:eastAsia="黑体"/>
                          <w:kern w:val="0"/>
                          <w:sz w:val="28"/>
                          <w:szCs w:val="21"/>
                        </w:rPr>
                        <w:t xml:space="preserve"> of </w:t>
                      </w:r>
                      <w:r>
                        <w:rPr>
                          <w:rFonts w:hint="eastAsia" w:ascii="黑体" w:hAnsi="黑体" w:eastAsia="黑体"/>
                          <w:kern w:val="0"/>
                          <w:sz w:val="28"/>
                          <w:szCs w:val="21"/>
                        </w:rPr>
                        <w:t>medicalinstitution</w:t>
                      </w:r>
                    </w:p>
                  </w:txbxContent>
                </v:textbox>
              </v:shape>
            </w:pict>
          </mc:Fallback>
        </mc:AlternateContent>
      </w: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true">
                        <a:spLocks noChangeArrowheads="true"/>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-2024</w:t>
                            </w:r>
                          </w:p>
                        </w:txbxContent>
                      </wps:txbx>
                      <wps:bodyPr rot="0" vert="horz" wrap="square" lIns="91440" tIns="45720" rIns="91440" bIns="45720" anchor="t" anchorCtr="false" upright="true">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2336;mso-width-relative:page;mso-height-relative:page;" filled="f" stroked="f" coordsize="21600,21600" o:gfxdata="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BYAAABkcnMvUEsBAhQAFAAAAAgAh07iQKr5137bAAAA&#10;CwEAAA8AAAAAAAAAAQAgAAAAOAAAAGRycy9kb3ducmV2LnhtbFBLAQIUABQAAAAIAIdO4kB8rynt&#10;BAIAAPEDAAAOAAAAAAAAAAEAIAAAAEABAABkcnMvZTJvRG9jLnhtbFBLBQYAAAAABgAGAFkBAAC2&#10;BQA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-2024</w:t>
                      </w:r>
                    </w:p>
                  </w:txbxContent>
                </v:textbox>
              </v:shape>
            </w:pict>
          </mc:Fallback>
        </mc:AlternateContent>
      </w:r>
      <w:r>
        <w:rPr>
          <w:rFonts w:ascii="黑体" w:hAnsi="黑体" w:eastAsia="黑体"/>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59264;mso-width-relative:page;mso-height-relative:page;" filled="f" stroked="t" coordsize="21600,21600" o:gfxdata="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CIy4Wx0wAAAAgBAAAPAAAAAAAAAAEAIAAAADgAAABk&#10;cnMvZG93bnJldi54bWxQSwECFAAUAAAACACHTuJAOWU6U7wBAABpAwAADgAAAAAAAAABACAAAAA4&#10;AQAAZHJzL2Uyb0RvYy54bWxQSwUGAAAAAAYABgBZAQAAZgUAAAAA&#10;">
                <v:fill on="f" focussize="0,0"/>
                <v:stroke weight="1pt" color="#000000" joinstyle="round"/>
                <v:imagedata o:title=""/>
                <o:lock v:ext="edit" aspectratio="f"/>
              </v:shape>
            </w:pict>
          </mc:Fallback>
        </mc:AlternateContent>
      </w: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r>
        <w:rPr>
          <w:rFonts w:hint="eastAsia" w:ascii="黑体" w:hAnsi="黑体" w:eastAsia="黑体"/>
        </w:rPr>
        <w:t xml:space="preserve">                                                                                          </w:t>
      </w:r>
    </w:p>
    <w:p>
      <w:pPr>
        <w:pStyle w:val="2"/>
      </w:pPr>
    </w:p>
    <w:p>
      <w:pPr>
        <w:pStyle w:val="2"/>
      </w:pPr>
    </w:p>
    <w:p>
      <w:pPr>
        <w:pStyle w:val="2"/>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ind w:firstLine="420"/>
        <w:rPr>
          <w:rFonts w:ascii="黑体" w:hAnsi="黑体" w:eastAsia="黑体"/>
        </w:rPr>
      </w:pPr>
    </w:p>
    <w:p>
      <w:pPr>
        <w:pStyle w:val="2"/>
      </w:pPr>
    </w:p>
    <w:p>
      <w:pPr>
        <w:rPr>
          <w:rFonts w:ascii="黑体" w:hAnsi="黑体" w:eastAsia="黑体"/>
        </w:rPr>
      </w:pPr>
    </w:p>
    <w:p>
      <w:pPr>
        <w:rPr>
          <w:rFonts w:ascii="黑体" w:hAnsi="黑体" w:eastAsia="黑体"/>
        </w:rPr>
      </w:pPr>
    </w:p>
    <w:p>
      <w:pPr>
        <w:rPr>
          <w:rFonts w:ascii="黑体" w:hAnsi="黑体" w:eastAsia="黑体"/>
        </w:rPr>
      </w:pPr>
    </w:p>
    <w:p>
      <w:pPr>
        <w:pStyle w:val="2"/>
      </w:pPr>
    </w:p>
    <w:p>
      <w:pPr>
        <w:pStyle w:val="2"/>
      </w:pPr>
    </w:p>
    <w:p>
      <w:pPr>
        <w:pStyle w:val="2"/>
      </w:pPr>
    </w:p>
    <w:p>
      <w:pPr>
        <w:rPr>
          <w:rFonts w:ascii="黑体" w:hAnsi="黑体" w:eastAsia="黑体"/>
          <w:sz w:val="28"/>
          <w:szCs w:val="28"/>
        </w:rPr>
      </w:pPr>
      <w:r>
        <w:rPr>
          <w:rFonts w:ascii="黑体" w:hAnsi="黑体" w:eastAsia="黑体"/>
          <w:sz w:val="28"/>
          <w:szCs w:val="28"/>
        </w:rPr>
        <mc:AlternateContent>
          <mc:Choice Requires="wps">
            <w:drawing>
              <wp:anchor distT="0" distB="0" distL="114300" distR="114300" simplePos="0" relativeHeight="251663360"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3360;mso-width-relative:page;mso-height-relative:page;" filled="f" stroked="t" coordsize="21600,21600" o:gfxdata="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CvMgXH1gAAAAwBAAAPAAAAAAAAAAEAIAAAADgA&#10;AABkcnMvZG93bnJldi54bWxQSwECFAAUAAAACACHTuJAbdKPlLwBAABpAwAADgAAAAAAAAABACAA&#10;AAA7AQAAZHJzL2Uyb0RvYy54bWxQSwUGAAAAAAYABgBZAQAAaQUAAAAA&#10;">
                <v:fill on="f" focussize="0,0"/>
                <v:stroke weight="1pt" color="#000000" joinstyle="round"/>
                <v:imagedata o:title=""/>
                <o:lock v:ext="edit" aspectratio="f"/>
              </v:shape>
            </w:pict>
          </mc:Fallback>
        </mc:AlternateContent>
      </w:r>
      <w:r>
        <w:rPr>
          <w:rFonts w:hint="eastAsia" w:ascii="黑体" w:hAnsi="黑体" w:eastAsia="黑体"/>
          <w:sz w:val="28"/>
          <w:szCs w:val="28"/>
        </w:rPr>
        <w:t xml:space="preserve">2024-XX-XX发布                             </w:t>
      </w:r>
      <w:r>
        <w:rPr>
          <w:rFonts w:hint="eastAsia" w:ascii="黑体" w:hAnsi="黑体" w:eastAsia="黑体"/>
          <w:sz w:val="28"/>
          <w:szCs w:val="28"/>
          <w:lang w:val="en-US" w:eastAsia="zh-CN"/>
        </w:rPr>
        <w:t xml:space="preserve"> </w:t>
      </w:r>
      <w:r>
        <w:rPr>
          <w:rFonts w:hint="eastAsia" w:ascii="黑体" w:hAnsi="黑体" w:eastAsia="黑体"/>
          <w:sz w:val="28"/>
          <w:szCs w:val="28"/>
        </w:rPr>
        <w:t xml:space="preserve">      </w:t>
      </w:r>
      <w:r>
        <w:rPr>
          <w:rFonts w:ascii="黑体" w:hAnsi="黑体" w:eastAsia="黑体"/>
          <w:sz w:val="28"/>
          <w:szCs w:val="28"/>
        </w:rPr>
        <w:t xml:space="preserve">   </w:t>
      </w:r>
      <w:r>
        <w:rPr>
          <w:rFonts w:hint="eastAsia" w:ascii="黑体" w:hAnsi="黑体" w:eastAsia="黑体"/>
          <w:sz w:val="28"/>
          <w:szCs w:val="28"/>
        </w:rPr>
        <w:t>2024-XX-XX实施</w:t>
      </w:r>
    </w:p>
    <w:p>
      <w:pPr>
        <w:keepNext w:val="0"/>
        <w:keepLines w:val="0"/>
        <w:pageBreakBefore w:val="0"/>
        <w:widowControl w:val="0"/>
        <w:kinsoku/>
        <w:wordWrap/>
        <w:overflowPunct/>
        <w:topLinePunct w:val="0"/>
        <w:autoSpaceDE/>
        <w:autoSpaceDN/>
        <w:bidi w:val="0"/>
        <w:adjustRightInd/>
        <w:snapToGrid/>
        <w:spacing w:line="1247" w:lineRule="exact"/>
        <w:ind w:firstLine="0"/>
        <w:jc w:val="center"/>
        <w:textAlignment w:val="auto"/>
        <w:rPr>
          <w:rFonts w:ascii="黑体" w:hAnsi="黑体" w:eastAsia="黑体"/>
          <w:sz w:val="28"/>
          <w:szCs w:val="28"/>
        </w:rPr>
      </w:pPr>
      <w:bookmarkStart w:id="0" w:name="_Toc3547"/>
      <w:bookmarkStart w:id="1" w:name="_Toc18385"/>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pPr>
    </w:p>
    <w:p>
      <w:pPr>
        <w:rPr>
          <w:rFonts w:ascii="黑体" w:hAnsi="黑体" w:eastAsia="黑体"/>
          <w:sz w:val="28"/>
          <w:szCs w:val="28"/>
        </w:rPr>
      </w:pPr>
      <w:r>
        <w:rPr>
          <w:rFonts w:hint="eastAsia" w:ascii="黑体" w:hAnsi="黑体" w:eastAsia="黑体"/>
          <w:sz w:val="28"/>
          <w:szCs w:val="28"/>
        </w:rPr>
        <w:br w:type="page"/>
      </w:r>
    </w:p>
    <w:p>
      <w:pPr>
        <w:pStyle w:val="2"/>
        <w:sectPr>
          <w:pgSz w:w="11906" w:h="16838"/>
          <w:pgMar w:top="567" w:right="851" w:bottom="1134" w:left="1418" w:header="0" w:footer="0" w:gutter="0"/>
          <w:pgNumType w:fmt="upperRoman"/>
          <w:cols w:space="425" w:num="1"/>
          <w:docGrid w:type="lines" w:linePitch="312" w:charSpace="0"/>
        </w:sectPr>
      </w:pPr>
    </w:p>
    <w:p>
      <w:pPr>
        <w:snapToGrid w:val="0"/>
        <w:spacing w:before="567" w:after="680"/>
        <w:ind w:firstLine="640"/>
        <w:jc w:val="center"/>
        <w:rPr>
          <w:rFonts w:hint="eastAsia" w:asciiTheme="minorEastAsia" w:hAnsiTheme="minorEastAsia" w:eastAsiaTheme="minorEastAsia" w:cstheme="minorEastAsia"/>
          <w:kern w:val="2"/>
          <w:sz w:val="18"/>
          <w:szCs w:val="21"/>
          <w:lang w:val="en-US" w:eastAsia="zh-CN" w:bidi="ar-SA"/>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TOC \o "1-3" \h \z \u </w:instrText>
      </w:r>
      <w:r>
        <w:rPr>
          <w:rFonts w:hint="eastAsia" w:asciiTheme="minorEastAsia" w:hAnsiTheme="minorEastAsia" w:cstheme="minorEastAsia"/>
          <w:szCs w:val="21"/>
        </w:rPr>
        <w:fldChar w:fldCharType="separate"/>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_Toc10429 </w:instrText>
      </w:r>
      <w:r>
        <w:rPr>
          <w:rFonts w:hint="eastAsia" w:ascii="宋体" w:hAnsi="宋体" w:eastAsia="宋体" w:cs="宋体"/>
          <w:sz w:val="21"/>
          <w:szCs w:val="21"/>
        </w:rPr>
        <w:fldChar w:fldCharType="separate"/>
      </w:r>
      <w:r>
        <w:rPr>
          <w:rFonts w:hint="eastAsia" w:ascii="宋体" w:hAnsi="宋体" w:eastAsia="宋体" w:cs="宋体"/>
          <w:sz w:val="21"/>
          <w:szCs w:val="21"/>
        </w:rPr>
        <w:t>前言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_Toc10429 \h </w:instrText>
      </w:r>
      <w:r>
        <w:rPr>
          <w:rFonts w:hint="eastAsia" w:ascii="宋体" w:hAnsi="宋体" w:eastAsia="宋体" w:cs="宋体"/>
          <w:sz w:val="21"/>
          <w:szCs w:val="21"/>
        </w:rPr>
        <w:fldChar w:fldCharType="separate"/>
      </w:r>
      <w:r>
        <w:rPr>
          <w:rFonts w:hint="eastAsia" w:ascii="宋体" w:hAnsi="宋体" w:eastAsia="宋体" w:cs="宋体"/>
          <w:sz w:val="21"/>
          <w:szCs w:val="21"/>
        </w:rPr>
        <w:t>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_Toc32219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eastAsia" w:eastAsia="宋体" w:cs="宋体"/>
          <w:i w:val="0"/>
          <w:sz w:val="21"/>
          <w:szCs w:val="21"/>
          <w:lang w:val="en-US" w:eastAsia="zh-CN"/>
        </w:rPr>
        <w:t xml:space="preserve"> </w:t>
      </w:r>
      <w:r>
        <w:rPr>
          <w:rFonts w:hint="eastAsia" w:ascii="宋体" w:hAnsi="宋体" w:eastAsia="宋体" w:cs="宋体"/>
          <w:sz w:val="21"/>
          <w:szCs w:val="21"/>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_Toc32219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_Toc21298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eastAsia" w:eastAsia="宋体" w:cs="宋体"/>
          <w:i w:val="0"/>
          <w:sz w:val="21"/>
          <w:szCs w:val="21"/>
          <w:lang w:val="en-US" w:eastAsia="zh-CN"/>
        </w:rPr>
        <w:t xml:space="preserve"> </w:t>
      </w:r>
      <w:r>
        <w:rPr>
          <w:rFonts w:hint="eastAsia" w:ascii="宋体" w:hAnsi="宋体" w:eastAsia="宋体" w:cs="宋体"/>
          <w:sz w:val="21"/>
          <w:szCs w:val="21"/>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_Toc21298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_Toc10120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eastAsia" w:eastAsia="宋体" w:cs="宋体"/>
          <w:i w:val="0"/>
          <w:sz w:val="21"/>
          <w:szCs w:val="21"/>
          <w:lang w:val="en-US" w:eastAsia="zh-CN"/>
        </w:rPr>
        <w:t xml:space="preserve"> </w:t>
      </w:r>
      <w:r>
        <w:rPr>
          <w:rFonts w:hint="eastAsia" w:ascii="宋体" w:hAnsi="宋体" w:eastAsia="宋体" w:cs="宋体"/>
          <w:sz w:val="21"/>
          <w:szCs w:val="21"/>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_Toc10120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_Toc30245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4 </w:t>
      </w:r>
      <w:r>
        <w:rPr>
          <w:rFonts w:hint="eastAsia" w:eastAsia="宋体" w:cs="宋体"/>
          <w:i w:val="0"/>
          <w:sz w:val="21"/>
          <w:szCs w:val="21"/>
          <w:lang w:val="en-US" w:eastAsia="zh-CN"/>
        </w:rPr>
        <w:t xml:space="preserve"> </w:t>
      </w:r>
      <w:r>
        <w:rPr>
          <w:rFonts w:hint="eastAsia" w:ascii="宋体" w:hAnsi="宋体" w:eastAsia="宋体" w:cs="宋体"/>
          <w:sz w:val="21"/>
          <w:szCs w:val="21"/>
        </w:rPr>
        <w:t>数据分类分级原则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_Toc30245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_Toc3420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5 </w:t>
      </w:r>
      <w:r>
        <w:rPr>
          <w:rFonts w:hint="eastAsia" w:eastAsia="宋体" w:cs="宋体"/>
          <w:i w:val="0"/>
          <w:sz w:val="21"/>
          <w:szCs w:val="21"/>
          <w:lang w:val="en-US" w:eastAsia="zh-CN"/>
        </w:rPr>
        <w:t xml:space="preserve"> </w:t>
      </w:r>
      <w:r>
        <w:rPr>
          <w:rFonts w:hint="eastAsia" w:ascii="宋体" w:hAnsi="宋体" w:eastAsia="宋体" w:cs="宋体"/>
          <w:kern w:val="0"/>
          <w:sz w:val="21"/>
          <w:szCs w:val="21"/>
        </w:rPr>
        <w:t>数据分类规则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_Toc3420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8"/>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_Toc19646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分类框架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_Toc19646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8"/>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_Toc5365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分类方法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_Toc5365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_Toc10475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6 </w:t>
      </w:r>
      <w:r>
        <w:rPr>
          <w:rFonts w:hint="eastAsia" w:eastAsia="宋体" w:cs="宋体"/>
          <w:i w:val="0"/>
          <w:sz w:val="21"/>
          <w:szCs w:val="21"/>
          <w:lang w:val="en-US" w:eastAsia="zh-CN"/>
        </w:rPr>
        <w:t xml:space="preserve"> </w:t>
      </w:r>
      <w:r>
        <w:rPr>
          <w:rFonts w:hint="eastAsia" w:ascii="宋体" w:hAnsi="宋体" w:eastAsia="宋体" w:cs="宋体"/>
          <w:sz w:val="21"/>
          <w:szCs w:val="21"/>
        </w:rPr>
        <w:t>数据分级规则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_Toc10475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8"/>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_Toc26662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6.1</w:t>
      </w:r>
      <w:r>
        <w:rPr>
          <w:rFonts w:hint="eastAsia"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分级框架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_Toc26662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8"/>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_Toc13901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6.2</w:t>
      </w:r>
      <w:r>
        <w:rPr>
          <w:rFonts w:hint="eastAsia"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分级方法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_Toc13901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8"/>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_Toc28867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分级要素</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_Toc28867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_Toc14674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7 </w:t>
      </w:r>
      <w:r>
        <w:rPr>
          <w:rFonts w:hint="eastAsia" w:eastAsia="宋体" w:cs="宋体"/>
          <w:i w:val="0"/>
          <w:sz w:val="21"/>
          <w:szCs w:val="21"/>
          <w:lang w:val="en-US" w:eastAsia="zh-CN"/>
        </w:rPr>
        <w:t xml:space="preserve"> </w:t>
      </w:r>
      <w:r>
        <w:rPr>
          <w:rFonts w:hint="eastAsia" w:ascii="宋体" w:hAnsi="宋体" w:eastAsia="宋体" w:cs="宋体"/>
          <w:sz w:val="21"/>
          <w:szCs w:val="21"/>
        </w:rPr>
        <w:t>数据分类分级管理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_Toc14674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8"/>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_Toc959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职责分工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_Toc959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8"/>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_Toc21596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工作要求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_Toc21596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eastAsia="宋体" w:cs="宋体"/>
          <w:sz w:val="21"/>
          <w:szCs w:val="21"/>
          <w:lang w:val="en-US" w:eastAsia="zh-CN"/>
        </w:rPr>
        <w:t xml:space="preserve">附录A（资料性）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_Toc27854 </w:instrText>
      </w:r>
      <w:r>
        <w:rPr>
          <w:rFonts w:hint="eastAsia" w:ascii="宋体" w:hAnsi="宋体" w:eastAsia="宋体" w:cs="宋体"/>
          <w:sz w:val="21"/>
          <w:szCs w:val="21"/>
        </w:rPr>
        <w:fldChar w:fldCharType="separate"/>
      </w:r>
      <w:r>
        <w:rPr>
          <w:rFonts w:hint="eastAsia" w:ascii="宋体" w:hAnsi="宋体" w:eastAsia="宋体" w:cs="宋体"/>
          <w:sz w:val="21"/>
          <w:szCs w:val="21"/>
        </w:rPr>
        <w:t>医疗机构数据分类参考表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_Toc27854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eastAsia="宋体" w:cs="宋体"/>
          <w:sz w:val="21"/>
          <w:szCs w:val="21"/>
          <w:lang w:val="en-US" w:eastAsia="zh-CN"/>
        </w:rPr>
        <w:t xml:space="preserve">附录B（资料性）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_Toc15110 </w:instrText>
      </w:r>
      <w:r>
        <w:rPr>
          <w:rFonts w:hint="eastAsia" w:ascii="宋体" w:hAnsi="宋体" w:eastAsia="宋体" w:cs="宋体"/>
          <w:sz w:val="21"/>
          <w:szCs w:val="21"/>
        </w:rPr>
        <w:fldChar w:fldCharType="separate"/>
      </w:r>
      <w:r>
        <w:rPr>
          <w:rFonts w:hint="eastAsia" w:ascii="宋体" w:hAnsi="宋体" w:eastAsia="宋体" w:cs="宋体"/>
          <w:sz w:val="21"/>
          <w:szCs w:val="21"/>
        </w:rPr>
        <w:t>医疗机构数据分类分级职责划分参考表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_Toc15110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eastAsia="宋体" w:cs="宋体"/>
          <w:sz w:val="21"/>
          <w:szCs w:val="21"/>
          <w:lang w:val="en-US" w:eastAsia="zh-CN"/>
        </w:rPr>
        <w:t>附录C</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_Toc21256 </w:instrText>
      </w:r>
      <w:r>
        <w:rPr>
          <w:rFonts w:hint="eastAsia" w:ascii="宋体" w:hAnsi="宋体" w:eastAsia="宋体" w:cs="宋体"/>
          <w:sz w:val="21"/>
          <w:szCs w:val="21"/>
        </w:rPr>
        <w:fldChar w:fldCharType="separate"/>
      </w:r>
      <w:r>
        <w:rPr>
          <w:rFonts w:hint="eastAsia" w:eastAsia="宋体" w:cs="宋体"/>
          <w:sz w:val="21"/>
          <w:szCs w:val="21"/>
          <w:lang w:eastAsia="zh-CN"/>
        </w:rPr>
        <w:t>（</w:t>
      </w:r>
      <w:r>
        <w:rPr>
          <w:rFonts w:hint="eastAsia" w:ascii="宋体" w:hAnsi="宋体" w:eastAsia="宋体" w:cs="宋体"/>
          <w:sz w:val="21"/>
          <w:szCs w:val="21"/>
        </w:rPr>
        <w:t>资料性</w:t>
      </w:r>
      <w:r>
        <w:rPr>
          <w:rFonts w:hint="eastAsia" w:eastAsia="宋体" w:cs="宋体"/>
          <w:sz w:val="21"/>
          <w:szCs w:val="21"/>
          <w:lang w:eastAsia="zh-CN"/>
        </w:rPr>
        <w:t>）</w:t>
      </w:r>
      <w:r>
        <w:rPr>
          <w:rFonts w:hint="eastAsia" w:eastAsia="宋体" w:cs="宋体"/>
          <w:sz w:val="21"/>
          <w:szCs w:val="21"/>
          <w:lang w:val="en-US" w:eastAsia="zh-CN"/>
        </w:rPr>
        <w:t xml:space="preserve">  </w:t>
      </w:r>
      <w:r>
        <w:rPr>
          <w:rFonts w:hint="eastAsia" w:ascii="宋体" w:hAnsi="宋体" w:eastAsia="宋体" w:cs="宋体"/>
          <w:sz w:val="21"/>
          <w:szCs w:val="21"/>
        </w:rPr>
        <w:t>数据目录上报模板</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_Toc21256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rPr>
          <w:rFonts w:hint="eastAsia" w:ascii="宋体" w:hAnsi="宋体" w:eastAsia="宋体" w:cs="宋体"/>
          <w:sz w:val="21"/>
          <w:szCs w:val="21"/>
        </w:rPr>
      </w:pPr>
      <w:r>
        <w:rPr>
          <w:rFonts w:hint="eastAsia" w:eastAsia="宋体" w:cs="宋体"/>
          <w:sz w:val="21"/>
          <w:szCs w:val="21"/>
          <w:lang w:val="en-US" w:eastAsia="zh-CN"/>
        </w:rPr>
        <w:t xml:space="preserve">附录D（资料性）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_Toc9599 </w:instrText>
      </w:r>
      <w:r>
        <w:rPr>
          <w:rFonts w:hint="eastAsia" w:ascii="宋体" w:hAnsi="宋体" w:eastAsia="宋体" w:cs="宋体"/>
          <w:sz w:val="21"/>
          <w:szCs w:val="21"/>
        </w:rPr>
        <w:fldChar w:fldCharType="separate"/>
      </w:r>
      <w:r>
        <w:rPr>
          <w:rFonts w:hint="eastAsia" w:ascii="宋体" w:hAnsi="宋体" w:eastAsia="宋体" w:cs="宋体"/>
          <w:sz w:val="21"/>
          <w:szCs w:val="21"/>
        </w:rPr>
        <w:t>数据安全级别变化规则示例表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_Toc9599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_Toc17109 </w:instrText>
      </w:r>
      <w:r>
        <w:rPr>
          <w:rFonts w:hint="eastAsia" w:ascii="宋体" w:hAnsi="宋体" w:eastAsia="宋体" w:cs="宋体"/>
          <w:sz w:val="21"/>
          <w:szCs w:val="21"/>
        </w:rPr>
        <w:fldChar w:fldCharType="separate"/>
      </w:r>
      <w:r>
        <w:rPr>
          <w:rFonts w:hint="eastAsia"/>
          <w:sz w:val="21"/>
          <w:szCs w:val="21"/>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_Toc17109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6"/>
        <w:tabs>
          <w:tab w:val="right" w:leader="dot" w:pos="9354"/>
        </w:tabs>
        <w:snapToGrid w:val="0"/>
        <w:ind w:firstLine="420"/>
        <w:jc w:val="left"/>
        <w:rPr>
          <w:rFonts w:ascii="宋体" w:hAnsi="宋体" w:eastAsia="宋体" w:cs="宋体"/>
          <w:szCs w:val="21"/>
        </w:rPr>
      </w:pPr>
      <w:r>
        <w:rPr>
          <w:rFonts w:hint="eastAsia" w:asciiTheme="minorEastAsia" w:hAnsiTheme="minorEastAsia" w:cstheme="minorEastAsia"/>
          <w:szCs w:val="21"/>
        </w:rPr>
        <w:fldChar w:fldCharType="end"/>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51"/>
        <w:shd w:val="clear" w:color="auto" w:fill="auto"/>
        <w:spacing w:before="567" w:after="680" w:afterLines="0"/>
        <w:rPr>
          <w:spacing w:val="320"/>
        </w:rPr>
        <w:sectPr>
          <w:headerReference r:id="rId3" w:type="default"/>
          <w:footerReference r:id="rId5" w:type="default"/>
          <w:headerReference r:id="rId4" w:type="even"/>
          <w:footerReference r:id="rId6" w:type="even"/>
          <w:pgSz w:w="11906" w:h="16838"/>
          <w:pgMar w:top="1417" w:right="1134" w:bottom="1134" w:left="1418" w:header="1417" w:footer="1134" w:gutter="0"/>
          <w:pgNumType w:fmt="upperRoman" w:start="1"/>
          <w:cols w:space="425" w:num="1"/>
          <w:docGrid w:type="lines" w:linePitch="312" w:charSpace="0"/>
        </w:sectPr>
      </w:pPr>
    </w:p>
    <w:p>
      <w:pPr>
        <w:pStyle w:val="2"/>
        <w:sectPr>
          <w:headerReference r:id="rId7" w:type="default"/>
          <w:footerReference r:id="rId9" w:type="default"/>
          <w:headerReference r:id="rId8" w:type="even"/>
          <w:footerReference r:id="rId10" w:type="even"/>
          <w:pgSz w:w="11906" w:h="16838"/>
          <w:pgMar w:top="1417" w:right="1134" w:bottom="1134" w:left="1418" w:header="1417" w:footer="1134" w:gutter="0"/>
          <w:pgNumType w:fmt="upperRoman" w:start="2"/>
          <w:cols w:space="425"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kern w:val="0"/>
          <w:sz w:val="32"/>
          <w:szCs w:val="32"/>
          <w:lang w:val="en-US" w:eastAsia="zh-CN"/>
        </w:rPr>
      </w:pPr>
      <w:bookmarkStart w:id="2" w:name="_Toc10429"/>
      <w:bookmarkStart w:id="3" w:name="_Toc169775904"/>
      <w:bookmarkStart w:id="4" w:name="_Toc565062076"/>
      <w:r>
        <w:rPr>
          <w:rFonts w:hint="eastAsia" w:ascii="黑体" w:hAnsi="黑体" w:eastAsia="黑体" w:cs="黑体"/>
          <w:kern w:val="0"/>
          <w:sz w:val="32"/>
          <w:szCs w:val="32"/>
          <w:lang w:val="en-US" w:eastAsia="zh-CN"/>
        </w:rPr>
        <w:t>前    言</w:t>
      </w:r>
      <w:bookmarkEnd w:id="2"/>
      <w:bookmarkEnd w:id="3"/>
      <w:bookmarkEnd w:id="4"/>
    </w:p>
    <w:p>
      <w:pPr>
        <w:keepNext w:val="0"/>
        <w:keepLines w:val="0"/>
        <w:pageBreakBefore w:val="0"/>
        <w:widowControl w:val="0"/>
        <w:shd w:val="clear"/>
        <w:kinsoku/>
        <w:wordWrap/>
        <w:overflowPunct/>
        <w:topLinePunct w:val="0"/>
        <w:autoSpaceDE/>
        <w:autoSpaceDN/>
        <w:bidi w:val="0"/>
        <w:adjustRightInd/>
        <w:snapToGrid w:val="0"/>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 xml:space="preserve">本文件按照GB/T 1.1—2020《标准化工作导则 </w:t>
      </w:r>
      <w:r>
        <w:rPr>
          <w:rFonts w:hint="eastAsia" w:ascii="宋体" w:hAnsi="宋体" w:eastAsia="宋体" w:cs="宋体"/>
          <w:kern w:val="0"/>
          <w:szCs w:val="21"/>
          <w:lang w:val="en-US" w:eastAsia="zh-CN"/>
        </w:rPr>
        <w:t xml:space="preserve"> </w:t>
      </w:r>
      <w:r>
        <w:rPr>
          <w:rFonts w:hint="eastAsia" w:ascii="宋体" w:hAnsi="宋体" w:eastAsia="宋体" w:cs="宋体"/>
          <w:kern w:val="0"/>
          <w:szCs w:val="21"/>
        </w:rPr>
        <w:t>第1部分：标准化文件的结构和起草规则》的规定起草。</w:t>
      </w:r>
    </w:p>
    <w:p>
      <w:pPr>
        <w:pStyle w:val="69"/>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本文件的某些内容可能涉及专利，本文件的发布机构不承担识别专利的责任。</w:t>
      </w:r>
    </w:p>
    <w:p>
      <w:pPr>
        <w:pStyle w:val="69"/>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w:t>
      </w:r>
      <w:r>
        <w:rPr>
          <w:rFonts w:hint="eastAsia" w:hAnsi="宋体"/>
          <w:szCs w:val="21"/>
        </w:rPr>
        <w:t>苏州市卫生健康委员会</w:t>
      </w:r>
      <w:r>
        <w:rPr>
          <w:rFonts w:hint="eastAsia"/>
          <w:color w:val="000000" w:themeColor="text1"/>
          <w14:textFill>
            <w14:solidFill>
              <w14:schemeClr w14:val="tx1"/>
            </w14:solidFill>
          </w14:textFill>
        </w:rPr>
        <w:t>提出</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归口</w:t>
      </w:r>
      <w:r>
        <w:rPr>
          <w:rFonts w:hint="eastAsia"/>
          <w:color w:val="000000" w:themeColor="text1"/>
          <w:lang w:val="en-US" w:eastAsia="zh-CN"/>
          <w14:textFill>
            <w14:solidFill>
              <w14:schemeClr w14:val="tx1"/>
            </w14:solidFill>
          </w14:textFill>
        </w:rPr>
        <w:t>并组织实施</w:t>
      </w:r>
      <w:r>
        <w:rPr>
          <w:rFonts w:hint="eastAsia"/>
          <w:color w:val="000000" w:themeColor="text1"/>
          <w14:textFill>
            <w14:solidFill>
              <w14:schemeClr w14:val="tx1"/>
            </w14:solidFill>
          </w14:textFill>
        </w:rPr>
        <w:t>。</w:t>
      </w:r>
    </w:p>
    <w:p>
      <w:pPr>
        <w:pStyle w:val="69"/>
        <w:ind w:left="0" w:leftChars="0" w:firstLine="42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本文件起草单位：苏州市卫生健康信息中心、苏州市卫生健康委员会、中共苏州市委网络安全和信息化委员会办公室、苏州市公安局、苏州市质量和标准化院、北京神州绿盟科技有限公司、</w:t>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"http://www.baidu.com/link?url=eCuKOEGWnfxausxgp_T4umdc_EpZDCjqcpOn5RQhqIwLNHMSLFG2fbuxNMKCiulP" \t "https://www.baidu.com/_blank"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中国信息通信研究院</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、苏州市姑苏区政务信息中心</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昆山市卫生计生信息中心、常熟</w:t>
      </w:r>
      <w:r>
        <w:rPr>
          <w:rFonts w:hint="eastAsia"/>
          <w:color w:val="000000" w:themeColor="text1"/>
          <w:lang w:val="en-US" w:eastAsia="zh-CN"/>
          <w14:textFill>
            <w14:solidFill>
              <w14:schemeClr w14:val="tx1"/>
            </w14:solidFill>
          </w14:textFill>
        </w:rPr>
        <w:t>市</w:t>
      </w:r>
      <w:r>
        <w:rPr>
          <w:rFonts w:hint="eastAsia"/>
          <w:color w:val="000000" w:themeColor="text1"/>
          <w14:textFill>
            <w14:solidFill>
              <w14:schemeClr w14:val="tx1"/>
            </w14:solidFill>
          </w14:textFill>
        </w:rPr>
        <w:t>卫生信息中心、苏州市吴江区卫生计生统计信息中心、苏州市吴中区卫生健康发展中心、姑苏区民政和卫生健康局、苏州工业园区卫生健康委员会、苏州大学附属第一医院、苏州大学附属第二医院、苏州大学附属儿童医院、苏州市立医院、苏州市中医医院、苏州市第五人民医院、苏州市第九人民医院、苏州大学附属第四医院、苏州市疾病预防控制中心、苏州科技城医院</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苏州明基医院</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常熟市第二人民医院。</w:t>
      </w:r>
    </w:p>
    <w:p>
      <w:pPr>
        <w:pStyle w:val="69"/>
        <w:ind w:left="0" w:leftChars="0" w:firstLine="420" w:firstLineChars="200"/>
        <w:sectPr>
          <w:headerReference r:id="rId11" w:type="default"/>
          <w:footerReference r:id="rId13" w:type="default"/>
          <w:headerReference r:id="rId12" w:type="even"/>
          <w:footerReference r:id="rId14" w:type="even"/>
          <w:pgSz w:w="11906" w:h="16838"/>
          <w:pgMar w:top="1417" w:right="1134" w:bottom="1134" w:left="1418" w:header="1417" w:footer="1134" w:gutter="0"/>
          <w:pgNumType w:fmt="upperRoman" w:start="2"/>
          <w:cols w:space="425" w:num="1"/>
          <w:docGrid w:type="lines" w:linePitch="312" w:charSpace="0"/>
        </w:sectPr>
      </w:pPr>
      <w:r>
        <w:rPr>
          <w:rFonts w:hint="eastAsia"/>
          <w:color w:val="000000" w:themeColor="text1"/>
          <w14:textFill>
            <w14:solidFill>
              <w14:schemeClr w14:val="tx1"/>
            </w14:solidFill>
          </w14:textFill>
        </w:rPr>
        <w:t>本文件主要起草人：鞠鑫、陆治平、汤峥、朱杰、徐爱彬、张俊杰、陆晓明、刘旭哲、周文渊、王宝燕、</w:t>
      </w:r>
      <w:r>
        <w:rPr>
          <w:rFonts w:hint="eastAsia"/>
          <w:color w:val="000000" w:themeColor="text1"/>
          <w:lang w:val="en-US" w:eastAsia="zh-CN"/>
          <w14:textFill>
            <w14:solidFill>
              <w14:schemeClr w14:val="tx1"/>
            </w14:solidFill>
          </w14:textFill>
        </w:rPr>
        <w:t>李嘉、</w:t>
      </w:r>
      <w:r>
        <w:rPr>
          <w:rFonts w:hint="eastAsia"/>
          <w:color w:val="000000" w:themeColor="text1"/>
          <w14:textFill>
            <w14:solidFill>
              <w14:schemeClr w14:val="tx1"/>
            </w14:solidFill>
          </w14:textFill>
        </w:rPr>
        <w:t>周号云、</w:t>
      </w:r>
      <w:r>
        <w:rPr>
          <w:rFonts w:hint="eastAsia"/>
          <w:color w:val="000000" w:themeColor="text1"/>
          <w:lang w:val="en-US" w:eastAsia="zh-CN"/>
          <w14:textFill>
            <w14:solidFill>
              <w14:schemeClr w14:val="tx1"/>
            </w14:solidFill>
          </w14:textFill>
        </w:rPr>
        <w:t>金建芳、钱瑾、</w:t>
      </w:r>
      <w:r>
        <w:rPr>
          <w:rFonts w:hint="eastAsia"/>
          <w:color w:val="000000" w:themeColor="text1"/>
          <w14:textFill>
            <w14:solidFill>
              <w14:schemeClr w14:val="tx1"/>
            </w14:solidFill>
          </w14:textFill>
        </w:rPr>
        <w:t>赵亚、姚永刚、顾嘉奇、汤景云、沈婷、</w:t>
      </w:r>
      <w:r>
        <w:rPr>
          <w:rFonts w:hint="eastAsia"/>
          <w:color w:val="000000" w:themeColor="text1"/>
          <w:lang w:val="en-US" w:eastAsia="zh-CN"/>
          <w14:textFill>
            <w14:solidFill>
              <w14:schemeClr w14:val="tx1"/>
            </w14:solidFill>
          </w14:textFill>
        </w:rPr>
        <w:t>赵芯蕊、</w:t>
      </w:r>
      <w:r>
        <w:rPr>
          <w:rFonts w:hint="eastAsia"/>
          <w:color w:val="000000" w:themeColor="text1"/>
          <w14:textFill>
            <w14:solidFill>
              <w14:schemeClr w14:val="tx1"/>
            </w14:solidFill>
          </w14:textFill>
        </w:rPr>
        <w:t>胡莉莉、贝乾、金健、仲晓伟、李斌、朱建光、王澜、颜庆、顾纪君、徐先泉、张华荣、程思</w:t>
      </w:r>
      <w:r>
        <w:rPr>
          <w:rFonts w:hint="eastAsia"/>
          <w:color w:val="000000" w:themeColor="text1"/>
          <w:lang w:val="en-US" w:eastAsia="zh-CN"/>
          <w14:textFill>
            <w14:solidFill>
              <w14:schemeClr w14:val="tx1"/>
            </w14:solidFill>
          </w14:textFill>
        </w:rPr>
        <w:t>民</w:t>
      </w:r>
      <w:r>
        <w:rPr>
          <w:rFonts w:hint="eastAsia"/>
          <w:color w:val="000000" w:themeColor="text1"/>
          <w14:textFill>
            <w14:solidFill>
              <w14:schemeClr w14:val="tx1"/>
            </w14:solidFill>
          </w14:textFill>
        </w:rPr>
        <w:t>、刘亚军、汪春亮、朱晨、诸俊、闵寒、费雪刚、柳维生、唐广场、</w:t>
      </w:r>
      <w:r>
        <w:rPr>
          <w:rFonts w:hint="eastAsia"/>
          <w:color w:val="000000" w:themeColor="text1"/>
          <w:lang w:val="en-US" w:eastAsia="zh-CN"/>
          <w14:textFill>
            <w14:solidFill>
              <w14:schemeClr w14:val="tx1"/>
            </w14:solidFill>
          </w14:textFill>
        </w:rPr>
        <w:t>王怡、</w:t>
      </w:r>
      <w:r>
        <w:rPr>
          <w:rFonts w:hint="eastAsia"/>
          <w:color w:val="000000" w:themeColor="text1"/>
          <w14:textFill>
            <w14:solidFill>
              <w14:schemeClr w14:val="tx1"/>
            </w14:solidFill>
          </w14:textFill>
        </w:rPr>
        <w:t>沈翀、黄利军、沈颖杰、丁翀、方卫青、高喆、叶栋、潘爱女</w:t>
      </w:r>
      <w:r>
        <w:rPr>
          <w:rFonts w:hint="eastAsia"/>
          <w:color w:val="000000" w:themeColor="text1"/>
          <w:lang w:eastAsia="zh-CN"/>
          <w14:textFill>
            <w14:solidFill>
              <w14:schemeClr w14:val="tx1"/>
            </w14:solidFill>
          </w14:textFill>
        </w:rPr>
        <w:t>、谢晓烽、</w:t>
      </w:r>
      <w:r>
        <w:rPr>
          <w:rFonts w:hint="eastAsia"/>
          <w:color w:val="000000" w:themeColor="text1"/>
          <w14:textFill>
            <w14:solidFill>
              <w14:schemeClr w14:val="tx1"/>
            </w14:solidFill>
          </w14:textFill>
        </w:rPr>
        <w:t>李泉、丁松松、赵斌、邵军琦、王萍、施岭、马林平。</w:t>
      </w:r>
    </w:p>
    <w:p>
      <w:pPr>
        <w:pStyle w:val="2"/>
      </w:pPr>
    </w:p>
    <w:p>
      <w:pPr>
        <w:widowControl/>
        <w:ind w:firstLine="640"/>
        <w:rPr>
          <w:rFonts w:ascii="黑体" w:hAnsi="黑体" w:eastAsia="黑体"/>
          <w:bCs/>
          <w:sz w:val="32"/>
          <w:szCs w:val="32"/>
        </w:rPr>
        <w:sectPr>
          <w:headerReference r:id="rId15" w:type="default"/>
          <w:footerReference r:id="rId17" w:type="default"/>
          <w:headerReference r:id="rId16" w:type="even"/>
          <w:footerReference r:id="rId18" w:type="even"/>
          <w:pgSz w:w="11906" w:h="16838"/>
          <w:pgMar w:top="1417" w:right="1134" w:bottom="1134" w:left="1418" w:header="1417" w:footer="1134" w:gutter="0"/>
          <w:pgNumType w:fmt="upperRoman"/>
          <w:cols w:space="425" w:num="1"/>
          <w:docGrid w:type="lines" w:linePitch="312" w:charSpace="0"/>
        </w:sectPr>
      </w:pPr>
      <w:bookmarkStart w:id="5" w:name="SectionMark4"/>
    </w:p>
    <w:p>
      <w:pPr>
        <w:widowControl/>
        <w:spacing w:before="567" w:after="680"/>
        <w:ind w:left="0" w:leftChars="0" w:firstLine="0" w:firstLineChars="0"/>
        <w:jc w:val="center"/>
        <w:rPr>
          <w:rFonts w:ascii="黑体" w:hAnsi="黑体" w:eastAsia="黑体"/>
          <w:bCs/>
          <w:sz w:val="32"/>
          <w:szCs w:val="32"/>
        </w:rPr>
      </w:pPr>
      <w:r>
        <w:rPr>
          <w:rFonts w:hint="eastAsia" w:ascii="黑体" w:hAnsi="宋体" w:eastAsia="黑体"/>
          <w:sz w:val="32"/>
          <w:szCs w:val="32"/>
        </w:rPr>
        <w:t>医疗机构数据分类分级规范</w:t>
      </w:r>
    </w:p>
    <w:bookmarkEnd w:id="5"/>
    <w:p>
      <w:pPr>
        <w:pStyle w:val="68"/>
        <w:spacing w:before="312" w:after="312"/>
        <w:rPr>
          <w:rFonts w:hint="eastAsia"/>
        </w:rPr>
      </w:pPr>
      <w:bookmarkStart w:id="6" w:name="_Toc32219"/>
      <w:bookmarkStart w:id="7" w:name="_Toc4672"/>
      <w:bookmarkStart w:id="8" w:name="_Toc169775905"/>
      <w:bookmarkStart w:id="9" w:name="_Toc825624298"/>
      <w:bookmarkStart w:id="10" w:name="_Toc21213"/>
      <w:bookmarkStart w:id="11" w:name="_Toc47973642"/>
      <w:bookmarkStart w:id="12" w:name="_Toc48569571"/>
      <w:bookmarkStart w:id="13" w:name="_Toc30515"/>
      <w:bookmarkStart w:id="14" w:name="_Toc47973431"/>
      <w:bookmarkStart w:id="15" w:name="_Toc87811368"/>
      <w:bookmarkStart w:id="16" w:name="_Toc67393169"/>
      <w:bookmarkStart w:id="17" w:name="_Toc10375"/>
      <w:bookmarkStart w:id="18" w:name="_Toc87811223"/>
      <w:bookmarkStart w:id="19" w:name="_Toc47964470"/>
      <w:bookmarkStart w:id="20" w:name="_Toc122448156"/>
      <w:bookmarkStart w:id="21" w:name="_Toc51663569"/>
      <w:bookmarkStart w:id="22" w:name="_Toc15741"/>
      <w:bookmarkStart w:id="23" w:name="_Toc47964512"/>
      <w:bookmarkStart w:id="24" w:name="_Toc67401897"/>
      <w:bookmarkStart w:id="25" w:name="_Toc51147912"/>
      <w:bookmarkStart w:id="26" w:name="_Toc48028397"/>
      <w:bookmarkStart w:id="27" w:name="_Toc40454690"/>
      <w:bookmarkStart w:id="28" w:name="_Toc48050151"/>
      <w:bookmarkStart w:id="29" w:name="_Toc48572088"/>
      <w:bookmarkStart w:id="30" w:name="_Toc46494722"/>
      <w:bookmarkStart w:id="31" w:name="_Toc48028304"/>
      <w:bookmarkStart w:id="32" w:name="_Toc115339701"/>
      <w:bookmarkStart w:id="33" w:name="_Toc48049835"/>
      <w:bookmarkStart w:id="34" w:name="_Toc66965087"/>
      <w:r>
        <w:rPr>
          <w:rFonts w:hint="eastAsia"/>
        </w:rPr>
        <w:t>范围</w:t>
      </w:r>
      <w:bookmarkEnd w:id="6"/>
      <w:bookmarkEnd w:id="7"/>
    </w:p>
    <w:bookmarkEnd w:id="8"/>
    <w:bookmarkEnd w:id="9"/>
    <w:p>
      <w:pPr>
        <w:widowControl/>
        <w:ind w:firstLine="420" w:firstLineChars="200"/>
        <w:jc w:val="left"/>
        <w:rPr>
          <w:rFonts w:cs="宋体" w:asciiTheme="minorEastAsia" w:hAnsiTheme="minorEastAsia"/>
          <w:color w:val="000000"/>
          <w:kern w:val="0"/>
          <w:sz w:val="21"/>
          <w:szCs w:val="21"/>
          <w:lang w:bidi="ar"/>
        </w:rPr>
      </w:pPr>
      <w:bookmarkStart w:id="35" w:name="_Toc1375733219"/>
      <w:bookmarkStart w:id="36" w:name="_Toc169775906"/>
      <w:r>
        <w:rPr>
          <w:rFonts w:hint="eastAsia" w:cs="宋体" w:asciiTheme="minorEastAsia" w:hAnsiTheme="minorEastAsia"/>
          <w:color w:val="000000"/>
          <w:kern w:val="0"/>
          <w:sz w:val="21"/>
          <w:szCs w:val="21"/>
          <w:lang w:bidi="ar"/>
        </w:rPr>
        <w:t>本文件规定了医疗机构开展数据分类分级的原则、规则和管理等。</w:t>
      </w:r>
    </w:p>
    <w:p>
      <w:pPr>
        <w:widowControl/>
        <w:ind w:firstLine="420" w:firstLineChars="200"/>
        <w:jc w:val="left"/>
        <w:rPr>
          <w:rFonts w:cs="宋体" w:asciiTheme="minorEastAsia" w:hAnsiTheme="minorEastAsia"/>
          <w:kern w:val="0"/>
          <w:sz w:val="21"/>
          <w:szCs w:val="21"/>
          <w:lang w:bidi="ar"/>
        </w:rPr>
      </w:pPr>
      <w:r>
        <w:rPr>
          <w:rFonts w:hint="eastAsia" w:cs="宋体" w:asciiTheme="minorEastAsia" w:hAnsiTheme="minorEastAsia"/>
          <w:color w:val="000000"/>
          <w:kern w:val="0"/>
          <w:sz w:val="21"/>
          <w:szCs w:val="21"/>
          <w:lang w:bidi="ar"/>
        </w:rPr>
        <w:t>本文件</w:t>
      </w:r>
      <w:r>
        <w:rPr>
          <w:rFonts w:hint="eastAsia" w:cs="宋体" w:asciiTheme="minorEastAsia" w:hAnsiTheme="minorEastAsia"/>
          <w:kern w:val="0"/>
          <w:sz w:val="21"/>
          <w:szCs w:val="21"/>
          <w:lang w:bidi="ar"/>
        </w:rPr>
        <w:t>适用于指导医疗机构开展数据分类分级工作，也适用于监管部门开展数据分类分级的落地考核和检查。医疗机构包括公立医院、民营医院、社区卫生服务中心</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站</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、校医院、乡镇卫生院、诊所</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医务室</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、村卫生室、疾病预防控制中心、妇幼保健机构、专科疾病防治院</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所、站</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、卫生监督所</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中心</w:t>
      </w:r>
      <w:r>
        <w:rPr>
          <w:rFonts w:hint="eastAsia" w:cs="宋体" w:asciiTheme="minorEastAsia" w:hAnsiTheme="minorEastAsia"/>
          <w:kern w:val="0"/>
          <w:sz w:val="21"/>
          <w:szCs w:val="21"/>
          <w:lang w:eastAsia="zh-CN" w:bidi="ar"/>
        </w:rPr>
        <w:t>）</w:t>
      </w:r>
      <w:r>
        <w:rPr>
          <w:rFonts w:hint="eastAsia" w:cs="宋体" w:asciiTheme="minorEastAsia" w:hAnsiTheme="minorEastAsia"/>
          <w:kern w:val="0"/>
          <w:sz w:val="21"/>
          <w:szCs w:val="21"/>
          <w:lang w:bidi="ar"/>
        </w:rPr>
        <w:t xml:space="preserve">。 </w:t>
      </w:r>
    </w:p>
    <w:p>
      <w:pPr>
        <w:widowControl/>
        <w:ind w:firstLine="420" w:firstLineChars="200"/>
        <w:jc w:val="left"/>
        <w:rPr>
          <w:rFonts w:cs="宋体" w:asciiTheme="minorEastAsia" w:hAnsiTheme="minorEastAsia"/>
          <w:kern w:val="0"/>
          <w:szCs w:val="21"/>
          <w:lang w:bidi="ar"/>
        </w:rPr>
      </w:pPr>
      <w:r>
        <w:rPr>
          <w:rFonts w:hint="eastAsia" w:cs="宋体" w:asciiTheme="minorEastAsia" w:hAnsiTheme="minorEastAsia"/>
          <w:kern w:val="0"/>
          <w:sz w:val="21"/>
          <w:szCs w:val="21"/>
          <w:lang w:bidi="ar"/>
        </w:rPr>
        <w:t>本文件不适用于涉及国家秘密的数据。</w:t>
      </w:r>
    </w:p>
    <w:bookmarkEnd w:id="35"/>
    <w:bookmarkEnd w:id="36"/>
    <w:p>
      <w:pPr>
        <w:pStyle w:val="68"/>
        <w:spacing w:before="312" w:after="312"/>
        <w:rPr>
          <w:rFonts w:hint="eastAsia"/>
        </w:rPr>
      </w:pPr>
      <w:bookmarkStart w:id="37" w:name="_Toc51147913"/>
      <w:bookmarkStart w:id="38" w:name="_Toc87811369"/>
      <w:bookmarkStart w:id="39" w:name="_Toc66965088"/>
      <w:bookmarkStart w:id="40" w:name="_Toc40454691"/>
      <w:bookmarkStart w:id="41" w:name="_Toc27904"/>
      <w:bookmarkStart w:id="42" w:name="_Toc25682"/>
      <w:bookmarkStart w:id="43" w:name="_Toc48028305"/>
      <w:bookmarkStart w:id="44" w:name="_Toc67401898"/>
      <w:bookmarkStart w:id="45" w:name="_Toc48572089"/>
      <w:bookmarkStart w:id="46" w:name="_Toc5397"/>
      <w:bookmarkStart w:id="47" w:name="_Toc21298"/>
      <w:bookmarkStart w:id="48" w:name="_Toc47973643"/>
      <w:bookmarkStart w:id="49" w:name="_Toc51663570"/>
      <w:bookmarkStart w:id="50" w:name="_Toc29099"/>
      <w:bookmarkStart w:id="51" w:name="_Toc47964471"/>
      <w:bookmarkStart w:id="52" w:name="_Toc122448157"/>
      <w:bookmarkStart w:id="53" w:name="_Toc48028398"/>
      <w:bookmarkStart w:id="54" w:name="_Toc27351"/>
      <w:bookmarkStart w:id="55" w:name="_Toc48569572"/>
      <w:bookmarkStart w:id="56" w:name="_Toc87811224"/>
      <w:bookmarkStart w:id="57" w:name="_Toc67393170"/>
      <w:bookmarkStart w:id="58" w:name="_Toc47973432"/>
      <w:bookmarkStart w:id="59" w:name="_Toc115339702"/>
      <w:bookmarkStart w:id="60" w:name="_Toc47964513"/>
      <w:bookmarkStart w:id="61" w:name="_Toc48049836"/>
      <w:bookmarkStart w:id="62" w:name="_Toc48050152"/>
      <w:bookmarkStart w:id="63" w:name="_Toc46494723"/>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widowControl/>
        <w:ind w:firstLine="420" w:firstLineChars="200"/>
        <w:jc w:val="left"/>
        <w:rPr>
          <w:rFonts w:cs="宋体" w:asciiTheme="minorEastAsia" w:hAnsiTheme="minorEastAsia"/>
          <w:color w:val="000000"/>
          <w:kern w:val="0"/>
          <w:sz w:val="21"/>
          <w:szCs w:val="21"/>
          <w:lang w:bidi="ar"/>
        </w:rPr>
      </w:pPr>
      <w:r>
        <w:rPr>
          <w:rFonts w:hint="eastAsia" w:cs="宋体" w:asciiTheme="minorEastAsia" w:hAnsiTheme="minorEastAsia"/>
          <w:color w:val="000000"/>
          <w:kern w:val="0"/>
          <w:sz w:val="21"/>
          <w:szCs w:val="21"/>
          <w:lang w:bidi="ar"/>
        </w:rPr>
        <w:t>下列文件中的内容通过文中的规范性引用而构成本文件必不可少的条款。其中，注日期的引用文件，仅该日期对应的版本适用于本文件；不注日期的引用文件，其最新版本（包括所有的修改单）适用于本文件。</w:t>
      </w:r>
    </w:p>
    <w:p>
      <w:pPr>
        <w:widowControl/>
        <w:ind w:firstLine="420" w:firstLineChars="200"/>
        <w:jc w:val="left"/>
        <w:rPr>
          <w:rFonts w:cs="宋体" w:asciiTheme="minorEastAsia" w:hAnsiTheme="minorEastAsia"/>
          <w:color w:val="000000"/>
          <w:kern w:val="0"/>
          <w:sz w:val="21"/>
          <w:szCs w:val="21"/>
          <w:lang w:bidi="ar"/>
        </w:rPr>
      </w:pPr>
      <w:r>
        <w:rPr>
          <w:rFonts w:hint="eastAsia" w:cs="宋体" w:asciiTheme="minorEastAsia" w:hAnsiTheme="minorEastAsia"/>
          <w:color w:val="000000"/>
          <w:kern w:val="0"/>
          <w:sz w:val="21"/>
          <w:szCs w:val="21"/>
          <w:lang w:bidi="ar"/>
        </w:rPr>
        <w:t>GB/T 25069-2022  信息安全技术 术语</w:t>
      </w:r>
    </w:p>
    <w:p>
      <w:pPr>
        <w:widowControl/>
        <w:ind w:firstLine="420" w:firstLineChars="200"/>
        <w:jc w:val="left"/>
        <w:rPr>
          <w:rFonts w:cs="宋体" w:asciiTheme="minorEastAsia" w:hAnsiTheme="minorEastAsia"/>
          <w:color w:val="000000"/>
          <w:kern w:val="0"/>
          <w:sz w:val="21"/>
          <w:szCs w:val="21"/>
          <w:lang w:bidi="ar"/>
        </w:rPr>
      </w:pPr>
      <w:r>
        <w:rPr>
          <w:rFonts w:hint="eastAsia" w:cs="宋体" w:asciiTheme="minorEastAsia" w:hAnsiTheme="minorEastAsia"/>
          <w:color w:val="000000"/>
          <w:kern w:val="0"/>
          <w:sz w:val="21"/>
          <w:szCs w:val="21"/>
          <w:lang w:bidi="ar"/>
        </w:rPr>
        <w:t>GB</w:t>
      </w:r>
      <w:r>
        <w:rPr>
          <w:rFonts w:cs="宋体" w:asciiTheme="minorEastAsia" w:hAnsiTheme="minorEastAsia"/>
          <w:color w:val="000000"/>
          <w:kern w:val="0"/>
          <w:sz w:val="21"/>
          <w:szCs w:val="21"/>
          <w:lang w:bidi="ar"/>
        </w:rPr>
        <w:t>/</w:t>
      </w:r>
      <w:r>
        <w:rPr>
          <w:rFonts w:hint="eastAsia" w:cs="宋体" w:asciiTheme="minorEastAsia" w:hAnsiTheme="minorEastAsia"/>
          <w:color w:val="000000"/>
          <w:kern w:val="0"/>
          <w:sz w:val="21"/>
          <w:szCs w:val="21"/>
          <w:lang w:bidi="ar"/>
        </w:rPr>
        <w:t>T</w:t>
      </w:r>
      <w:r>
        <w:rPr>
          <w:rFonts w:cs="宋体" w:asciiTheme="minorEastAsia" w:hAnsiTheme="minorEastAsia"/>
          <w:color w:val="000000"/>
          <w:kern w:val="0"/>
          <w:sz w:val="21"/>
          <w:szCs w:val="21"/>
          <w:lang w:bidi="ar"/>
        </w:rPr>
        <w:t xml:space="preserve"> 43697</w:t>
      </w:r>
      <w:r>
        <w:rPr>
          <w:rFonts w:hint="eastAsia" w:cs="宋体" w:asciiTheme="minorEastAsia" w:hAnsiTheme="minorEastAsia"/>
          <w:color w:val="000000"/>
          <w:kern w:val="0"/>
          <w:sz w:val="21"/>
          <w:szCs w:val="21"/>
          <w:lang w:bidi="ar"/>
        </w:rPr>
        <w:t>-2</w:t>
      </w:r>
      <w:r>
        <w:rPr>
          <w:rFonts w:cs="宋体" w:asciiTheme="minorEastAsia" w:hAnsiTheme="minorEastAsia"/>
          <w:color w:val="000000"/>
          <w:kern w:val="0"/>
          <w:sz w:val="21"/>
          <w:szCs w:val="21"/>
          <w:lang w:bidi="ar"/>
        </w:rPr>
        <w:t xml:space="preserve">024  </w:t>
      </w:r>
      <w:r>
        <w:rPr>
          <w:rFonts w:hint="eastAsia" w:cs="宋体" w:asciiTheme="minorEastAsia" w:hAnsiTheme="minorEastAsia"/>
          <w:color w:val="000000"/>
          <w:kern w:val="0"/>
          <w:sz w:val="21"/>
          <w:szCs w:val="21"/>
          <w:lang w:bidi="ar"/>
        </w:rPr>
        <w:t>数据安全技术 数据分类分级规则</w:t>
      </w:r>
    </w:p>
    <w:p>
      <w:pPr>
        <w:pStyle w:val="68"/>
        <w:rPr>
          <w:rFonts w:ascii="黑体" w:hAnsi="黑体" w:eastAsia="黑体"/>
          <w:b w:val="0"/>
          <w:sz w:val="21"/>
          <w:szCs w:val="21"/>
        </w:rPr>
      </w:pPr>
      <w:bookmarkStart w:id="64" w:name="_Toc2139268131"/>
      <w:bookmarkStart w:id="65" w:name="_Toc87811370"/>
      <w:bookmarkStart w:id="66" w:name="_Toc122448158"/>
      <w:bookmarkStart w:id="67" w:name="_Toc115339703"/>
      <w:bookmarkStart w:id="68" w:name="_Toc16728"/>
      <w:bookmarkStart w:id="69" w:name="_Toc67393171"/>
      <w:bookmarkStart w:id="70" w:name="_Toc169775907"/>
      <w:bookmarkStart w:id="71" w:name="_Toc10120"/>
      <w:bookmarkStart w:id="72" w:name="_Toc87811225"/>
      <w:bookmarkStart w:id="73" w:name="_Toc67401899"/>
      <w:r>
        <w:rPr>
          <w:rFonts w:hint="eastAsia"/>
          <w:szCs w:val="21"/>
        </w:rPr>
        <w:t>术语和定义</w:t>
      </w:r>
      <w:bookmarkEnd w:id="64"/>
      <w:bookmarkEnd w:id="65"/>
      <w:bookmarkEnd w:id="66"/>
      <w:bookmarkEnd w:id="67"/>
      <w:bookmarkEnd w:id="68"/>
      <w:bookmarkEnd w:id="69"/>
      <w:bookmarkEnd w:id="70"/>
      <w:bookmarkEnd w:id="71"/>
      <w:bookmarkEnd w:id="72"/>
      <w:bookmarkEnd w:id="73"/>
    </w:p>
    <w:p>
      <w:pPr>
        <w:widowControl/>
        <w:ind w:firstLine="420" w:firstLineChars="200"/>
        <w:jc w:val="left"/>
        <w:rPr>
          <w:rFonts w:cs="宋体" w:asciiTheme="minorEastAsia" w:hAnsiTheme="minorEastAsia"/>
          <w:color w:val="000000"/>
          <w:kern w:val="0"/>
          <w:szCs w:val="21"/>
          <w:lang w:bidi="ar"/>
        </w:rPr>
      </w:pPr>
      <w:r>
        <w:rPr>
          <w:rFonts w:cs="宋体" w:asciiTheme="minorEastAsia" w:hAnsiTheme="minorEastAsia"/>
          <w:color w:val="000000"/>
          <w:kern w:val="0"/>
          <w:szCs w:val="21"/>
          <w:lang w:bidi="ar"/>
        </w:rPr>
        <w:t xml:space="preserve">GB/T </w:t>
      </w:r>
      <w:r>
        <w:rPr>
          <w:rFonts w:hint="eastAsia" w:cs="宋体" w:asciiTheme="minorEastAsia" w:hAnsiTheme="minorEastAsia"/>
          <w:color w:val="000000"/>
          <w:kern w:val="0"/>
          <w:szCs w:val="21"/>
          <w:lang w:bidi="ar"/>
        </w:rPr>
        <w:t>25069</w:t>
      </w:r>
      <w:r>
        <w:rPr>
          <w:rFonts w:cs="宋体" w:asciiTheme="minorEastAsia" w:hAnsiTheme="minorEastAsia"/>
          <w:color w:val="000000"/>
          <w:kern w:val="0"/>
          <w:szCs w:val="21"/>
          <w:lang w:bidi="ar"/>
        </w:rPr>
        <w:t>-202</w:t>
      </w:r>
      <w:r>
        <w:rPr>
          <w:rFonts w:hint="eastAsia" w:cs="宋体" w:asciiTheme="minorEastAsia" w:hAnsiTheme="minorEastAsia"/>
          <w:color w:val="000000"/>
          <w:kern w:val="0"/>
          <w:szCs w:val="21"/>
          <w:lang w:bidi="ar"/>
        </w:rPr>
        <w:t>2界定的以及下列术语和定义适用于本文件。</w:t>
      </w:r>
    </w:p>
    <w:p>
      <w:pPr>
        <w:pStyle w:val="65"/>
        <w:ind w:left="420" w:hanging="420" w:hangingChars="200"/>
        <w:rPr>
          <w:rFonts w:hint="eastAsia" w:ascii="黑体" w:hAnsi="黑体" w:eastAsia="黑体"/>
        </w:rPr>
      </w:pPr>
    </w:p>
    <w:p>
      <w:pPr>
        <w:pStyle w:val="65"/>
        <w:numPr>
          <w:ilvl w:val="0"/>
          <w:numId w:val="0"/>
        </w:numPr>
        <w:ind w:left="420"/>
        <w:rPr>
          <w:rFonts w:hint="default" w:ascii="黑体" w:hAnsi="黑体" w:eastAsia="黑体"/>
          <w:highlight w:val="none"/>
          <w:lang w:val="en-US" w:eastAsia="zh-CN"/>
        </w:rPr>
      </w:pPr>
      <w:r>
        <w:rPr>
          <w:rFonts w:hint="eastAsia" w:ascii="黑体" w:hAnsi="黑体" w:eastAsia="黑体"/>
          <w:color w:val="auto"/>
        </w:rPr>
        <w:t>数据</w:t>
      </w:r>
      <w:r>
        <w:rPr>
          <w:rFonts w:ascii="黑体" w:hAnsi="黑体" w:eastAsia="黑体"/>
          <w:color w:val="auto"/>
        </w:rPr>
        <w:t xml:space="preserve"> </w:t>
      </w:r>
      <w:r>
        <w:rPr>
          <w:rFonts w:hint="eastAsia" w:ascii="黑体" w:hAnsi="黑体" w:eastAsia="黑体"/>
          <w:color w:val="auto"/>
          <w:lang w:val="en-US" w:eastAsia="zh-CN"/>
        </w:rPr>
        <w:t xml:space="preserve"> </w:t>
      </w:r>
      <w:r>
        <w:rPr>
          <w:rFonts w:ascii="黑体" w:hAnsi="黑体" w:eastAsia="黑体"/>
          <w:color w:val="auto"/>
        </w:rPr>
        <w:t>data</w:t>
      </w:r>
    </w:p>
    <w:p>
      <w:pPr>
        <w:pStyle w:val="65"/>
        <w:numPr>
          <w:ilvl w:val="0"/>
          <w:numId w:val="0"/>
        </w:numPr>
        <w:ind w:left="420"/>
        <w:rPr>
          <w:rFonts w:cs="宋体" w:asciiTheme="minorEastAsia" w:hAnsiTheme="minorEastAsia"/>
          <w:color w:val="auto"/>
          <w:kern w:val="0"/>
          <w:szCs w:val="21"/>
          <w:lang w:bidi="ar"/>
        </w:rPr>
      </w:pPr>
      <w:r>
        <w:rPr>
          <w:rFonts w:hint="eastAsia" w:cs="宋体" w:asciiTheme="minorEastAsia" w:hAnsiTheme="minorEastAsia"/>
          <w:color w:val="auto"/>
          <w:kern w:val="0"/>
          <w:szCs w:val="21"/>
          <w:lang w:bidi="ar"/>
        </w:rPr>
        <w:t>任何以电子或者其他方式对信息的记录。</w:t>
      </w:r>
    </w:p>
    <w:p>
      <w:pPr>
        <w:pStyle w:val="65"/>
        <w:ind w:left="420" w:hanging="420" w:hangingChars="200"/>
        <w:rPr>
          <w:rFonts w:hint="eastAsia" w:ascii="黑体" w:hAnsi="黑体" w:eastAsia="黑体"/>
        </w:rPr>
      </w:pPr>
    </w:p>
    <w:p>
      <w:pPr>
        <w:pStyle w:val="65"/>
        <w:numPr>
          <w:ilvl w:val="0"/>
          <w:numId w:val="0"/>
        </w:numPr>
        <w:ind w:left="420"/>
        <w:rPr>
          <w:rFonts w:ascii="黑体" w:hAnsi="黑体" w:eastAsia="黑体"/>
          <w:color w:val="auto"/>
        </w:rPr>
      </w:pPr>
      <w:bookmarkStart w:id="74" w:name="OLE_LINK1"/>
      <w:bookmarkStart w:id="75" w:name="OLE_LINK2"/>
      <w:r>
        <w:rPr>
          <w:rFonts w:hint="eastAsia" w:ascii="黑体" w:hAnsi="黑体" w:eastAsia="黑体"/>
          <w:color w:val="auto"/>
        </w:rPr>
        <w:t>数据分类</w:t>
      </w:r>
      <w:r>
        <w:rPr>
          <w:rFonts w:ascii="黑体" w:hAnsi="黑体" w:eastAsia="黑体"/>
          <w:color w:val="auto"/>
        </w:rPr>
        <w:t xml:space="preserve"> </w:t>
      </w:r>
      <w:r>
        <w:rPr>
          <w:rFonts w:hint="eastAsia" w:ascii="黑体" w:hAnsi="黑体" w:eastAsia="黑体"/>
          <w:color w:val="auto"/>
          <w:lang w:val="en-US" w:eastAsia="zh-CN"/>
        </w:rPr>
        <w:t xml:space="preserve"> </w:t>
      </w:r>
      <w:r>
        <w:rPr>
          <w:rFonts w:ascii="黑体" w:hAnsi="黑体" w:eastAsia="黑体"/>
          <w:color w:val="auto"/>
        </w:rPr>
        <w:t xml:space="preserve">data </w:t>
      </w:r>
      <w:bookmarkEnd w:id="74"/>
      <w:bookmarkEnd w:id="75"/>
      <w:r>
        <w:rPr>
          <w:rFonts w:ascii="黑体" w:hAnsi="黑体" w:eastAsia="黑体"/>
          <w:szCs w:val="21"/>
        </w:rPr>
        <w:t>classification</w:t>
      </w:r>
    </w:p>
    <w:p>
      <w:pPr>
        <w:widowControl/>
        <w:ind w:firstLine="420" w:firstLineChars="200"/>
        <w:jc w:val="left"/>
        <w:rPr>
          <w:rFonts w:cs="宋体" w:asciiTheme="minorEastAsia" w:hAnsiTheme="minorEastAsia"/>
          <w:kern w:val="0"/>
          <w:szCs w:val="21"/>
          <w:lang w:bidi="ar"/>
        </w:rPr>
      </w:pPr>
      <w:r>
        <w:rPr>
          <w:rFonts w:hint="eastAsia" w:cs="宋体" w:asciiTheme="minorEastAsia" w:hAnsiTheme="minorEastAsia"/>
          <w:kern w:val="0"/>
          <w:szCs w:val="21"/>
          <w:lang w:bidi="ar"/>
        </w:rPr>
        <w:t>根据数据的属性或特征，按照一定的原则和方法进行区分和归类。</w:t>
      </w:r>
    </w:p>
    <w:p>
      <w:pPr>
        <w:pStyle w:val="65"/>
        <w:ind w:left="420" w:hanging="420" w:hangingChars="200"/>
        <w:rPr>
          <w:rFonts w:hint="eastAsia" w:ascii="黑体" w:hAnsi="黑体" w:eastAsia="黑体"/>
        </w:rPr>
      </w:pPr>
    </w:p>
    <w:p>
      <w:pPr>
        <w:pStyle w:val="65"/>
        <w:numPr>
          <w:ilvl w:val="0"/>
          <w:numId w:val="0"/>
        </w:numPr>
        <w:ind w:left="420"/>
        <w:rPr>
          <w:rFonts w:ascii="黑体" w:hAnsi="黑体" w:eastAsia="黑体"/>
          <w:szCs w:val="21"/>
        </w:rPr>
      </w:pPr>
      <w:r>
        <w:rPr>
          <w:rFonts w:hint="eastAsia" w:ascii="黑体" w:hAnsi="黑体" w:eastAsia="黑体"/>
          <w:szCs w:val="21"/>
        </w:rPr>
        <w:t>数据分级</w:t>
      </w:r>
      <w:r>
        <w:rPr>
          <w:rFonts w:ascii="黑体" w:hAnsi="黑体" w:eastAsia="黑体"/>
          <w:szCs w:val="21"/>
        </w:rPr>
        <w:t xml:space="preserve"> </w:t>
      </w:r>
      <w:r>
        <w:rPr>
          <w:rFonts w:hint="eastAsia" w:ascii="黑体" w:hAnsi="黑体" w:eastAsia="黑体"/>
          <w:szCs w:val="21"/>
          <w:lang w:val="en-US" w:eastAsia="zh-CN"/>
        </w:rPr>
        <w:t xml:space="preserve"> </w:t>
      </w:r>
      <w:r>
        <w:rPr>
          <w:rFonts w:ascii="黑体" w:hAnsi="黑体" w:eastAsia="黑体"/>
          <w:szCs w:val="21"/>
        </w:rPr>
        <w:t>data grading</w:t>
      </w:r>
    </w:p>
    <w:p>
      <w:pPr>
        <w:widowControl/>
        <w:ind w:firstLine="420" w:firstLineChars="200"/>
        <w:jc w:val="left"/>
        <w:rPr>
          <w:rFonts w:cs="宋体" w:asciiTheme="minorEastAsia" w:hAnsiTheme="minorEastAsia"/>
          <w:color w:val="auto"/>
          <w:kern w:val="0"/>
          <w:szCs w:val="21"/>
          <w:lang w:bidi="ar"/>
        </w:rPr>
      </w:pPr>
      <w:r>
        <w:rPr>
          <w:rFonts w:hint="eastAsia" w:cs="宋体" w:asciiTheme="minorEastAsia" w:hAnsiTheme="minorEastAsia"/>
          <w:color w:val="auto"/>
          <w:kern w:val="0"/>
          <w:szCs w:val="21"/>
          <w:lang w:bidi="ar"/>
        </w:rPr>
        <w:t>根据数据的敏感程度和被破坏后对受害者的影响程度，按照一定的原则和方法进行定级，为数据全生命周期过程中组织数据的开放、共享安全策略制定提供支撑。</w:t>
      </w:r>
    </w:p>
    <w:p>
      <w:pPr>
        <w:pStyle w:val="65"/>
        <w:ind w:left="420" w:hanging="420" w:hangingChars="200"/>
        <w:rPr>
          <w:rFonts w:hint="eastAsia" w:ascii="黑体" w:hAnsi="黑体" w:eastAsia="黑体"/>
        </w:rPr>
      </w:pPr>
    </w:p>
    <w:p>
      <w:pPr>
        <w:pStyle w:val="65"/>
        <w:numPr>
          <w:ilvl w:val="-1"/>
          <w:numId w:val="0"/>
        </w:numPr>
        <w:ind w:left="0" w:firstLine="420"/>
        <w:rPr>
          <w:rFonts w:hint="eastAsia" w:ascii="黑体" w:hAnsi="黑体" w:eastAsia="黑体"/>
          <w:szCs w:val="21"/>
        </w:rPr>
      </w:pPr>
      <w:r>
        <w:rPr>
          <w:rFonts w:hint="eastAsia" w:ascii="黑体" w:hAnsi="黑体" w:eastAsia="黑体"/>
          <w:szCs w:val="21"/>
        </w:rPr>
        <w:t xml:space="preserve">重要数据 </w:t>
      </w:r>
      <w:r>
        <w:rPr>
          <w:rFonts w:hint="eastAsia" w:ascii="黑体" w:hAnsi="黑体" w:eastAsia="黑体"/>
          <w:szCs w:val="21"/>
          <w:lang w:val="en-US" w:eastAsia="zh-CN"/>
        </w:rPr>
        <w:t xml:space="preserve"> </w:t>
      </w:r>
      <w:r>
        <w:rPr>
          <w:rFonts w:hint="eastAsia" w:ascii="黑体" w:hAnsi="黑体" w:eastAsia="黑体"/>
          <w:szCs w:val="21"/>
        </w:rPr>
        <w:t>key data</w:t>
      </w:r>
    </w:p>
    <w:p>
      <w:pPr>
        <w:widowControl/>
        <w:ind w:firstLine="420" w:firstLineChars="200"/>
        <w:jc w:val="left"/>
        <w:rPr>
          <w:rFonts w:cs="宋体" w:asciiTheme="minorEastAsia" w:hAnsiTheme="minorEastAsia"/>
          <w:color w:val="auto"/>
          <w:kern w:val="0"/>
          <w:szCs w:val="21"/>
          <w:lang w:bidi="ar"/>
        </w:rPr>
      </w:pPr>
      <w:r>
        <w:rPr>
          <w:rFonts w:cs="宋体" w:asciiTheme="minorEastAsia" w:hAnsiTheme="minorEastAsia"/>
          <w:color w:val="auto"/>
          <w:kern w:val="0"/>
          <w:szCs w:val="21"/>
          <w:lang w:bidi="ar"/>
        </w:rPr>
        <w:t>特定领域、特定群体、特定区域或达到一定精度和规模的，一旦被泄露或篡改、损毁，可能直接危害国家安全、经济运行、社会稳定、公共健康和安全的数据。</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360" w:firstLineChars="200"/>
        <w:jc w:val="left"/>
        <w:rPr>
          <w:rFonts w:ascii="Helvetica" w:hAnsi="Helvetica" w:eastAsia="宋体" w:cs="Helvetica"/>
          <w:color w:val="auto"/>
          <w:kern w:val="0"/>
          <w:sz w:val="18"/>
          <w:szCs w:val="18"/>
        </w:rPr>
      </w:pPr>
      <w:r>
        <w:rPr>
          <w:rFonts w:hint="eastAsia" w:ascii="黑体" w:hAnsi="黑体" w:eastAsia="黑体" w:cs="黑体"/>
          <w:color w:val="auto"/>
          <w:kern w:val="0"/>
          <w:sz w:val="18"/>
          <w:szCs w:val="18"/>
        </w:rPr>
        <w:t>注：</w:t>
      </w:r>
      <w:r>
        <w:rPr>
          <w:rFonts w:hint="eastAsia" w:ascii="Helvetica" w:hAnsi="Helvetica" w:eastAsia="宋体" w:cs="Helvetica"/>
          <w:color w:val="auto"/>
          <w:kern w:val="0"/>
          <w:sz w:val="18"/>
          <w:szCs w:val="18"/>
        </w:rPr>
        <w:t>仅影响组织自身或公民个体的数据一般不作为重要数据。</w:t>
      </w:r>
    </w:p>
    <w:p>
      <w:pPr>
        <w:pStyle w:val="65"/>
        <w:ind w:left="420" w:hanging="420" w:hangingChars="200"/>
        <w:rPr>
          <w:rFonts w:hint="eastAsia" w:ascii="黑体" w:hAnsi="黑体" w:eastAsia="黑体"/>
        </w:rPr>
      </w:pPr>
    </w:p>
    <w:p>
      <w:pPr>
        <w:pStyle w:val="65"/>
        <w:numPr>
          <w:ilvl w:val="0"/>
          <w:numId w:val="0"/>
        </w:numPr>
        <w:ind w:left="420"/>
        <w:rPr>
          <w:rFonts w:ascii="黑体" w:hAnsi="黑体" w:eastAsia="黑体"/>
          <w:szCs w:val="21"/>
        </w:rPr>
      </w:pPr>
      <w:r>
        <w:rPr>
          <w:rFonts w:hint="eastAsia" w:ascii="黑体" w:hAnsi="黑体" w:eastAsia="黑体"/>
          <w:szCs w:val="21"/>
        </w:rPr>
        <w:t>核心数据</w:t>
      </w:r>
      <w:r>
        <w:rPr>
          <w:rFonts w:ascii="黑体" w:hAnsi="黑体" w:eastAsia="黑体"/>
          <w:szCs w:val="21"/>
        </w:rPr>
        <w:t xml:space="preserve"> </w:t>
      </w:r>
      <w:r>
        <w:rPr>
          <w:rFonts w:hint="eastAsia" w:ascii="黑体" w:hAnsi="黑体" w:eastAsia="黑体"/>
          <w:szCs w:val="21"/>
          <w:lang w:val="en-US" w:eastAsia="zh-CN"/>
        </w:rPr>
        <w:t xml:space="preserve"> </w:t>
      </w:r>
      <w:r>
        <w:rPr>
          <w:rFonts w:ascii="黑体" w:hAnsi="黑体" w:eastAsia="黑体"/>
          <w:szCs w:val="21"/>
        </w:rPr>
        <w:t>core data</w:t>
      </w:r>
    </w:p>
    <w:p>
      <w:pPr>
        <w:widowControl/>
        <w:ind w:firstLine="420" w:firstLineChars="200"/>
        <w:jc w:val="left"/>
        <w:rPr>
          <w:rFonts w:cs="宋体" w:asciiTheme="minorEastAsia" w:hAnsiTheme="minorEastAsia"/>
          <w:color w:val="auto"/>
          <w:kern w:val="0"/>
          <w:szCs w:val="21"/>
          <w:lang w:bidi="ar"/>
        </w:rPr>
      </w:pPr>
      <w:r>
        <w:rPr>
          <w:rFonts w:cs="宋体" w:asciiTheme="minorEastAsia" w:hAnsiTheme="minorEastAsia"/>
          <w:color w:val="auto"/>
          <w:kern w:val="0"/>
          <w:szCs w:val="21"/>
          <w:lang w:bidi="ar"/>
        </w:rPr>
        <w:t>对领域、群体、区域具有较高覆盖度或达到较高精度、较大规模、一定深度的，一旦被非法使用或共享，可能直接影响政治安全的重要数据。</w:t>
      </w:r>
    </w:p>
    <w:p>
      <w:pPr>
        <w:autoSpaceDE w:val="0"/>
        <w:autoSpaceDN w:val="0"/>
        <w:adjustRightInd w:val="0"/>
        <w:ind w:left="780" w:leftChars="200" w:hanging="360" w:hangingChars="200"/>
        <w:jc w:val="left"/>
        <w:rPr>
          <w:rFonts w:ascii="Helvetica" w:hAnsi="Helvetica" w:eastAsia="宋体" w:cs="Helvetica"/>
          <w:color w:val="auto"/>
          <w:kern w:val="0"/>
          <w:sz w:val="18"/>
        </w:rPr>
      </w:pPr>
      <w:r>
        <w:rPr>
          <w:rFonts w:hint="eastAsia" w:ascii="黑体" w:hAnsi="黑体" w:eastAsia="黑体" w:cs="黑体"/>
          <w:color w:val="auto"/>
          <w:kern w:val="0"/>
          <w:sz w:val="18"/>
          <w:szCs w:val="18"/>
        </w:rPr>
        <w:t>注：</w:t>
      </w:r>
      <w:r>
        <w:rPr>
          <w:rFonts w:hint="eastAsia" w:ascii="Helvetica" w:hAnsi="Helvetica" w:eastAsia="宋体" w:cs="Helvetica"/>
          <w:color w:val="auto"/>
          <w:kern w:val="0"/>
          <w:sz w:val="18"/>
        </w:rPr>
        <w:t>核心数据主要包括关系国家安全重点领域的数据，关系国民经济命脉、重要民生、重大公共利益的数据，经国家有关部门评估确定的其他数据。</w:t>
      </w:r>
    </w:p>
    <w:p>
      <w:pPr>
        <w:pStyle w:val="65"/>
        <w:ind w:left="420" w:hanging="420" w:hangingChars="200"/>
        <w:rPr>
          <w:rFonts w:hint="eastAsia" w:ascii="黑体" w:hAnsi="黑体" w:eastAsia="黑体"/>
        </w:rPr>
      </w:pPr>
    </w:p>
    <w:p>
      <w:pPr>
        <w:pStyle w:val="65"/>
        <w:numPr>
          <w:ilvl w:val="0"/>
          <w:numId w:val="0"/>
        </w:numPr>
        <w:ind w:left="420"/>
        <w:rPr>
          <w:rFonts w:ascii="黑体" w:hAnsi="黑体" w:eastAsia="黑体"/>
          <w:szCs w:val="21"/>
        </w:rPr>
      </w:pPr>
      <w:r>
        <w:rPr>
          <w:rFonts w:hint="eastAsia" w:ascii="黑体" w:hAnsi="黑体" w:eastAsia="黑体"/>
          <w:szCs w:val="21"/>
        </w:rPr>
        <w:t>一般数据</w:t>
      </w:r>
      <w:r>
        <w:rPr>
          <w:rFonts w:ascii="黑体" w:hAnsi="黑体" w:eastAsia="黑体"/>
          <w:szCs w:val="21"/>
        </w:rPr>
        <w:t xml:space="preserve"> </w:t>
      </w:r>
      <w:r>
        <w:rPr>
          <w:rFonts w:hint="eastAsia" w:ascii="黑体" w:hAnsi="黑体" w:eastAsia="黑体"/>
          <w:szCs w:val="21"/>
          <w:lang w:val="en-US" w:eastAsia="zh-CN"/>
        </w:rPr>
        <w:t xml:space="preserve"> </w:t>
      </w:r>
      <w:r>
        <w:rPr>
          <w:rFonts w:ascii="黑体" w:hAnsi="黑体" w:eastAsia="黑体"/>
          <w:szCs w:val="21"/>
        </w:rPr>
        <w:t>general data</w:t>
      </w:r>
    </w:p>
    <w:p>
      <w:pPr>
        <w:widowControl/>
        <w:ind w:firstLine="420" w:firstLineChars="200"/>
        <w:jc w:val="left"/>
        <w:rPr>
          <w:rFonts w:cs="宋体" w:asciiTheme="minorEastAsia" w:hAnsiTheme="minorEastAsia"/>
          <w:color w:val="auto"/>
          <w:kern w:val="0"/>
          <w:szCs w:val="21"/>
          <w:lang w:bidi="ar"/>
        </w:rPr>
      </w:pPr>
      <w:r>
        <w:rPr>
          <w:rFonts w:cs="宋体" w:asciiTheme="minorEastAsia" w:hAnsiTheme="minorEastAsia"/>
          <w:color w:val="auto"/>
          <w:kern w:val="0"/>
          <w:szCs w:val="21"/>
          <w:lang w:bidi="ar"/>
        </w:rPr>
        <w:t>核心数据、重要数据之外的其他数据。</w:t>
      </w:r>
    </w:p>
    <w:p>
      <w:pPr>
        <w:pStyle w:val="68"/>
        <w:rPr>
          <w:rFonts w:asciiTheme="minorHAnsi" w:hAnsiTheme="minorHAnsi" w:eastAsiaTheme="minorEastAsia"/>
          <w:b w:val="0"/>
          <w:sz w:val="21"/>
          <w:szCs w:val="22"/>
        </w:rPr>
      </w:pPr>
      <w:bookmarkStart w:id="76" w:name="_Toc30245"/>
      <w:bookmarkStart w:id="77" w:name="_Toc169775908"/>
      <w:bookmarkStart w:id="78" w:name="_Toc1508259643"/>
      <w:r>
        <w:rPr>
          <w:rFonts w:hint="eastAsia" w:ascii="黑体" w:hAnsi="Times New Roman" w:eastAsia="黑体" w:cs="Times New Roman"/>
          <w:b w:val="0"/>
          <w:sz w:val="21"/>
          <w:szCs w:val="20"/>
        </w:rPr>
        <w:t>数据分类分级原则</w:t>
      </w:r>
      <w:bookmarkEnd w:id="76"/>
      <w:bookmarkEnd w:id="77"/>
      <w:bookmarkEnd w:id="78"/>
    </w:p>
    <w:p>
      <w:pPr>
        <w:widowControl/>
        <w:ind w:firstLine="420" w:firstLineChars="200"/>
        <w:jc w:val="left"/>
        <w:rPr>
          <w:rFonts w:hint="eastAsia" w:cs="宋体" w:asciiTheme="minorEastAsia" w:hAnsiTheme="minorEastAsia" w:eastAsiaTheme="minorEastAsia"/>
          <w:kern w:val="0"/>
          <w:szCs w:val="21"/>
          <w:lang w:eastAsia="zh-CN" w:bidi="ar"/>
        </w:rPr>
      </w:pPr>
      <w:r>
        <w:rPr>
          <w:rFonts w:hint="eastAsia" w:cs="宋体" w:asciiTheme="minorEastAsia" w:hAnsiTheme="minorEastAsia"/>
          <w:kern w:val="0"/>
          <w:szCs w:val="21"/>
          <w:lang w:bidi="ar"/>
        </w:rPr>
        <w:t>医疗机构数据分类分级原则遵循GB/T 43697—2024且考虑与行业分类分级规则的一致性</w:t>
      </w:r>
      <w:r>
        <w:rPr>
          <w:rFonts w:hint="eastAsia" w:cs="宋体" w:asciiTheme="minorEastAsia" w:hAnsiTheme="minorEastAsia"/>
          <w:kern w:val="0"/>
          <w:szCs w:val="21"/>
          <w:lang w:eastAsia="zh-CN" w:bidi="ar"/>
        </w:rPr>
        <w:t>。</w:t>
      </w:r>
    </w:p>
    <w:p>
      <w:pPr>
        <w:pStyle w:val="57"/>
        <w:numPr>
          <w:ilvl w:val="0"/>
          <w:numId w:val="10"/>
        </w:numPr>
        <w:ind w:left="840" w:leftChars="200" w:hanging="420" w:hangingChars="200"/>
        <w:rPr>
          <w:rFonts w:cs="宋体" w:asciiTheme="minorEastAsia" w:hAnsiTheme="minorEastAsia"/>
          <w:color w:val="000000"/>
          <w:szCs w:val="21"/>
          <w:lang w:bidi="ar"/>
        </w:rPr>
      </w:pPr>
      <w:r>
        <w:rPr>
          <w:rFonts w:hint="eastAsia" w:cs="宋体" w:asciiTheme="minorEastAsia" w:hAnsiTheme="minorEastAsia"/>
          <w:color w:val="000000"/>
          <w:szCs w:val="21"/>
          <w:lang w:bidi="ar"/>
        </w:rPr>
        <w:t>根据GB</w:t>
      </w:r>
      <w:r>
        <w:rPr>
          <w:rFonts w:cs="宋体" w:asciiTheme="minorEastAsia" w:hAnsiTheme="minorEastAsia"/>
          <w:color w:val="000000"/>
          <w:szCs w:val="21"/>
          <w:lang w:bidi="ar"/>
        </w:rPr>
        <w:t>/</w:t>
      </w:r>
      <w:r>
        <w:rPr>
          <w:rFonts w:hint="eastAsia" w:cs="宋体" w:asciiTheme="minorEastAsia" w:hAnsiTheme="minorEastAsia"/>
          <w:color w:val="000000"/>
          <w:szCs w:val="21"/>
          <w:lang w:bidi="ar"/>
        </w:rPr>
        <w:t>T</w:t>
      </w:r>
      <w:r>
        <w:rPr>
          <w:rFonts w:cs="宋体" w:asciiTheme="minorEastAsia" w:hAnsiTheme="minorEastAsia"/>
          <w:color w:val="000000"/>
          <w:szCs w:val="21"/>
          <w:lang w:bidi="ar"/>
        </w:rPr>
        <w:t xml:space="preserve"> </w:t>
      </w:r>
      <w:r>
        <w:rPr>
          <w:rFonts w:hint="eastAsia"/>
        </w:rPr>
        <w:t>43697</w:t>
      </w:r>
      <w:r>
        <w:rPr>
          <w:rFonts w:hint="eastAsia" w:cs="宋体" w:asciiTheme="minorEastAsia" w:hAnsiTheme="minorEastAsia"/>
          <w:color w:val="000000"/>
          <w:szCs w:val="21"/>
          <w:lang w:bidi="ar"/>
        </w:rPr>
        <w:t>-2</w:t>
      </w:r>
      <w:r>
        <w:rPr>
          <w:rFonts w:cs="宋体" w:asciiTheme="minorEastAsia" w:hAnsiTheme="minorEastAsia"/>
          <w:color w:val="000000"/>
          <w:szCs w:val="21"/>
          <w:lang w:bidi="ar"/>
        </w:rPr>
        <w:t>024</w:t>
      </w:r>
      <w:r>
        <w:rPr>
          <w:rFonts w:hint="eastAsia" w:cs="宋体" w:asciiTheme="minorEastAsia" w:hAnsiTheme="minorEastAsia"/>
          <w:color w:val="000000"/>
          <w:szCs w:val="21"/>
          <w:lang w:bidi="ar"/>
        </w:rPr>
        <w:t>，医疗机构数据分类分级遵循</w:t>
      </w:r>
      <w:r>
        <w:rPr>
          <w:rFonts w:cs="宋体" w:asciiTheme="minorEastAsia" w:hAnsiTheme="minorEastAsia"/>
          <w:color w:val="000000"/>
          <w:szCs w:val="21"/>
          <w:lang w:bidi="ar"/>
        </w:rPr>
        <w:t>科学实用</w:t>
      </w:r>
      <w:r>
        <w:rPr>
          <w:rFonts w:hint="eastAsia" w:cs="宋体" w:asciiTheme="minorEastAsia" w:hAnsiTheme="minorEastAsia"/>
          <w:color w:val="000000"/>
          <w:szCs w:val="21"/>
          <w:lang w:bidi="ar"/>
        </w:rPr>
        <w:t>、</w:t>
      </w:r>
      <w:r>
        <w:rPr>
          <w:rFonts w:cs="宋体" w:asciiTheme="minorEastAsia" w:hAnsiTheme="minorEastAsia"/>
          <w:color w:val="000000"/>
          <w:szCs w:val="21"/>
          <w:lang w:bidi="ar"/>
        </w:rPr>
        <w:t>边界清晰</w:t>
      </w:r>
      <w:r>
        <w:rPr>
          <w:rFonts w:hint="eastAsia" w:cs="宋体" w:asciiTheme="minorEastAsia" w:hAnsiTheme="minorEastAsia"/>
          <w:color w:val="000000"/>
          <w:szCs w:val="21"/>
          <w:lang w:bidi="ar"/>
        </w:rPr>
        <w:t>、就高从严、</w:t>
      </w:r>
      <w:r>
        <w:rPr>
          <w:rFonts w:cs="宋体" w:asciiTheme="minorEastAsia" w:hAnsiTheme="minorEastAsia"/>
          <w:color w:val="000000"/>
          <w:szCs w:val="21"/>
          <w:lang w:bidi="ar"/>
        </w:rPr>
        <w:t>点面结合</w:t>
      </w:r>
      <w:r>
        <w:rPr>
          <w:rFonts w:hint="eastAsia" w:cs="宋体" w:asciiTheme="minorEastAsia" w:hAnsiTheme="minorEastAsia"/>
          <w:color w:val="000000"/>
          <w:szCs w:val="21"/>
          <w:lang w:bidi="ar"/>
        </w:rPr>
        <w:t>、</w:t>
      </w:r>
      <w:r>
        <w:rPr>
          <w:rFonts w:cs="宋体" w:asciiTheme="minorEastAsia" w:hAnsiTheme="minorEastAsia"/>
          <w:color w:val="000000"/>
          <w:szCs w:val="21"/>
          <w:lang w:bidi="ar"/>
        </w:rPr>
        <w:t>动态更新</w:t>
      </w:r>
      <w:r>
        <w:rPr>
          <w:rFonts w:hint="eastAsia" w:cs="宋体" w:asciiTheme="minorEastAsia" w:hAnsiTheme="minorEastAsia"/>
          <w:color w:val="000000"/>
          <w:szCs w:val="21"/>
          <w:lang w:bidi="ar"/>
        </w:rPr>
        <w:t>五个基本原则</w:t>
      </w:r>
      <w:r>
        <w:rPr>
          <w:rFonts w:hint="eastAsia" w:cs="宋体" w:asciiTheme="minorEastAsia" w:hAnsiTheme="minorEastAsia"/>
          <w:color w:val="000000"/>
          <w:szCs w:val="21"/>
          <w:lang w:eastAsia="zh-CN" w:bidi="ar"/>
        </w:rPr>
        <w:t>。</w:t>
      </w:r>
    </w:p>
    <w:p>
      <w:pPr>
        <w:pStyle w:val="57"/>
        <w:numPr>
          <w:ilvl w:val="0"/>
          <w:numId w:val="10"/>
        </w:numPr>
        <w:ind w:left="840" w:leftChars="200" w:hanging="420" w:hangingChars="200"/>
        <w:rPr>
          <w:rFonts w:hint="eastAsia" w:eastAsia="宋体" w:cs="宋体" w:asciiTheme="minorEastAsia" w:hAnsiTheme="minorEastAsia"/>
          <w:color w:val="000000"/>
          <w:szCs w:val="21"/>
          <w:lang w:bidi="ar"/>
        </w:rPr>
      </w:pPr>
      <w:r>
        <w:rPr>
          <w:rFonts w:hint="eastAsia" w:eastAsia="宋体" w:cs="宋体" w:asciiTheme="minorEastAsia" w:hAnsiTheme="minorEastAsia"/>
          <w:color w:val="000000"/>
          <w:szCs w:val="21"/>
          <w:lang w:bidi="ar"/>
        </w:rPr>
        <w:t>行业一致性原则：医疗机构开展数据分类分级时，与行业主管部门相关规定和要求、其他数据分类分级框架保持必要的一致性。</w:t>
      </w:r>
    </w:p>
    <w:p>
      <w:pPr>
        <w:pStyle w:val="68"/>
        <w:spacing w:before="312" w:after="312"/>
        <w:rPr>
          <w:rFonts w:hint="eastAsia"/>
        </w:rPr>
      </w:pPr>
      <w:bookmarkStart w:id="79" w:name="_Toc3420"/>
      <w:bookmarkStart w:id="80" w:name="_Toc422850713"/>
      <w:bookmarkStart w:id="81" w:name="_Toc169775909"/>
      <w:r>
        <w:rPr>
          <w:rFonts w:hint="default" w:ascii="黑体" w:hAnsi="Times New Roman" w:eastAsia="黑体" w:cs="Times New Roman"/>
          <w:b w:val="0"/>
          <w:kern w:val="0"/>
          <w:sz w:val="21"/>
          <w:szCs w:val="20"/>
        </w:rPr>
        <w:t>数据分类</w:t>
      </w:r>
      <w:bookmarkEnd w:id="79"/>
    </w:p>
    <w:bookmarkEnd w:id="80"/>
    <w:bookmarkEnd w:id="81"/>
    <w:p>
      <w:pPr>
        <w:pStyle w:val="67"/>
        <w:spacing w:before="156" w:after="156"/>
        <w:rPr>
          <w:rFonts w:hint="eastAsia"/>
        </w:rPr>
      </w:pPr>
      <w:bookmarkStart w:id="82" w:name="_Toc19646"/>
      <w:bookmarkStart w:id="83" w:name="_Toc169775910"/>
      <w:bookmarkStart w:id="84" w:name="_Toc828545468"/>
      <w:r>
        <w:rPr>
          <w:rFonts w:hint="eastAsia"/>
        </w:rPr>
        <w:t>分类框架</w:t>
      </w:r>
      <w:bookmarkEnd w:id="82"/>
    </w:p>
    <w:bookmarkEnd w:id="83"/>
    <w:bookmarkEnd w:id="84"/>
    <w:p>
      <w:pPr>
        <w:widowControl/>
        <w:ind w:firstLine="420" w:firstLineChars="200"/>
        <w:jc w:val="left"/>
        <w:rPr>
          <w:rFonts w:hint="eastAsia" w:cs="宋体" w:asciiTheme="minorEastAsia" w:hAnsiTheme="minorEastAsia" w:eastAsiaTheme="minorEastAsia"/>
          <w:color w:val="000000"/>
          <w:kern w:val="0"/>
          <w:szCs w:val="21"/>
          <w:lang w:eastAsia="zh-CN" w:bidi="ar"/>
        </w:rPr>
      </w:pPr>
      <w:r>
        <w:rPr>
          <w:rFonts w:hint="eastAsia" w:cs="宋体" w:asciiTheme="minorEastAsia" w:hAnsiTheme="minorEastAsia"/>
          <w:kern w:val="0"/>
          <w:szCs w:val="21"/>
          <w:lang w:bidi="ar"/>
        </w:rPr>
        <w:t>医疗机构数据分类按照先业务属性分类，再按照数据属性分类的思路进行分类</w:t>
      </w:r>
      <w:r>
        <w:rPr>
          <w:rFonts w:hint="eastAsia" w:cs="宋体" w:asciiTheme="minorEastAsia" w:hAnsiTheme="minorEastAsia"/>
          <w:kern w:val="0"/>
          <w:szCs w:val="21"/>
          <w:lang w:eastAsia="zh-CN" w:bidi="ar"/>
        </w:rPr>
        <w:t>。</w:t>
      </w:r>
    </w:p>
    <w:p>
      <w:pPr>
        <w:pStyle w:val="57"/>
        <w:numPr>
          <w:ilvl w:val="0"/>
          <w:numId w:val="11"/>
        </w:numPr>
        <w:ind w:left="840" w:leftChars="200" w:hanging="420" w:hangingChars="200"/>
        <w:rPr>
          <w:rFonts w:hint="eastAsia" w:eastAsia="宋体" w:cs="宋体" w:asciiTheme="minorEastAsia" w:hAnsiTheme="minorEastAsia"/>
          <w:color w:val="000000"/>
          <w:szCs w:val="21"/>
          <w:lang w:bidi="ar"/>
        </w:rPr>
      </w:pPr>
      <w:r>
        <w:rPr>
          <w:rFonts w:hint="eastAsia" w:eastAsia="宋体" w:cs="宋体" w:asciiTheme="minorEastAsia" w:hAnsiTheme="minorEastAsia"/>
          <w:color w:val="000000"/>
          <w:szCs w:val="21"/>
          <w:lang w:bidi="ar"/>
        </w:rPr>
        <w:t>按照业务属性，将数据分为个人信息、机构运营数据、医疗应用数据、医疗支付数据、公共卫生数据、医学教育研究数据、其他数据七个一级类别</w:t>
      </w:r>
      <w:r>
        <w:rPr>
          <w:rFonts w:hint="eastAsia" w:cs="宋体" w:asciiTheme="minorEastAsia" w:hAnsiTheme="minorEastAsia"/>
          <w:color w:val="000000"/>
          <w:szCs w:val="21"/>
          <w:lang w:eastAsia="zh-CN" w:bidi="ar"/>
        </w:rPr>
        <w:t>。</w:t>
      </w:r>
    </w:p>
    <w:p>
      <w:pPr>
        <w:pStyle w:val="57"/>
        <w:numPr>
          <w:ilvl w:val="0"/>
          <w:numId w:val="11"/>
        </w:numPr>
        <w:ind w:left="840" w:leftChars="200" w:hanging="420" w:hangingChars="200"/>
        <w:rPr>
          <w:rFonts w:ascii="宋体" w:hAnsi="宋体" w:eastAsia="宋体" w:cs="宋体"/>
          <w:color w:val="000000"/>
          <w:kern w:val="0"/>
          <w:szCs w:val="21"/>
          <w:lang w:bidi="ar"/>
        </w:rPr>
      </w:pPr>
      <w:r>
        <w:rPr>
          <w:rFonts w:hint="eastAsia" w:eastAsia="宋体" w:cs="宋体" w:asciiTheme="minorEastAsia" w:hAnsiTheme="minorEastAsia"/>
          <w:color w:val="000000"/>
          <w:szCs w:val="21"/>
          <w:lang w:bidi="ar"/>
        </w:rPr>
        <w:t>在业务属性分类的基础上，按照医疗机构的数据属性，对数据进行细化分类。二级类别包括但不</w:t>
      </w:r>
      <w:r>
        <w:rPr>
          <w:rFonts w:hint="eastAsia" w:cs="宋体" w:asciiTheme="minorEastAsia" w:hAnsiTheme="minorEastAsia"/>
          <w:color w:val="000000"/>
          <w:szCs w:val="21"/>
          <w:lang w:val="en-US" w:eastAsia="zh-CN" w:bidi="ar"/>
        </w:rPr>
        <w:t>限</w:t>
      </w:r>
      <w:r>
        <w:rPr>
          <w:rFonts w:hint="eastAsia" w:eastAsia="宋体" w:cs="宋体" w:asciiTheme="minorEastAsia" w:hAnsiTheme="minorEastAsia"/>
          <w:color w:val="000000"/>
          <w:szCs w:val="21"/>
          <w:lang w:bidi="ar"/>
        </w:rPr>
        <w:t>于：</w:t>
      </w:r>
    </w:p>
    <w:p>
      <w:pPr>
        <w:pStyle w:val="57"/>
        <w:keepNext w:val="0"/>
        <w:keepLines w:val="0"/>
        <w:pageBreakBefore w:val="0"/>
        <w:widowControl/>
        <w:numPr>
          <w:ilvl w:val="0"/>
          <w:numId w:val="12"/>
        </w:numPr>
        <w:kinsoku/>
        <w:wordWrap/>
        <w:overflowPunct/>
        <w:topLinePunct w:val="0"/>
        <w:autoSpaceDE/>
        <w:autoSpaceDN/>
        <w:bidi w:val="0"/>
        <w:adjustRightInd/>
        <w:snapToGrid/>
        <w:ind w:left="1155" w:leftChars="400" w:hanging="315" w:hangingChars="150"/>
        <w:textAlignment w:val="auto"/>
        <w:outlineLvl w:val="9"/>
        <w:rPr>
          <w:rFonts w:hint="eastAsia" w:asciiTheme="minorEastAsia" w:hAnsiTheme="minorEastAsia" w:eastAsiaTheme="minorEastAsia" w:cstheme="minorEastAsia"/>
          <w:sz w:val="21"/>
          <w:szCs w:val="21"/>
        </w:rPr>
      </w:pPr>
      <w:r>
        <w:rPr>
          <w:rFonts w:hint="eastAsia" w:ascii="宋体" w:hAnsi="宋体" w:eastAsia="宋体" w:cs="宋体"/>
          <w:color w:val="000000"/>
          <w:kern w:val="0"/>
          <w:szCs w:val="21"/>
          <w:lang w:bidi="ar"/>
        </w:rPr>
        <w:t>个人属性信息是指医疗机构中所有人员的</w:t>
      </w:r>
      <w:r>
        <w:rPr>
          <w:rFonts w:ascii="宋体" w:hAnsi="宋体" w:eastAsia="宋体" w:cs="宋体"/>
          <w:color w:val="000000"/>
          <w:kern w:val="0"/>
          <w:szCs w:val="21"/>
          <w:lang w:bidi="ar"/>
        </w:rPr>
        <w:t>基本信息和活动情况的数据集合</w:t>
      </w:r>
      <w:r>
        <w:rPr>
          <w:rFonts w:hint="eastAsia" w:ascii="宋体" w:hAnsi="宋体" w:eastAsia="宋体" w:cs="宋体"/>
          <w:color w:val="000000"/>
          <w:kern w:val="0"/>
          <w:szCs w:val="21"/>
          <w:lang w:bidi="ar"/>
        </w:rPr>
        <w:t>，包括个人基本信息、个人身份信息、个人通讯信息、个人财产信息、个人生物识别信息、个人就医信息、个人健康生理信息、其他个人信息八个子类</w:t>
      </w:r>
      <w:r>
        <w:rPr>
          <w:rFonts w:hint="eastAsia" w:asciiTheme="minorEastAsia" w:hAnsiTheme="minorEastAsia" w:eastAsiaTheme="minorEastAsia" w:cstheme="minorEastAsia"/>
          <w:sz w:val="21"/>
          <w:szCs w:val="21"/>
          <w:lang w:val="en-US" w:eastAsia="zh-CN"/>
        </w:rPr>
        <w:t>；</w:t>
      </w:r>
    </w:p>
    <w:p>
      <w:pPr>
        <w:pStyle w:val="57"/>
        <w:keepNext w:val="0"/>
        <w:keepLines w:val="0"/>
        <w:pageBreakBefore w:val="0"/>
        <w:widowControl/>
        <w:numPr>
          <w:ilvl w:val="0"/>
          <w:numId w:val="12"/>
        </w:numPr>
        <w:kinsoku/>
        <w:wordWrap/>
        <w:overflowPunct/>
        <w:topLinePunct w:val="0"/>
        <w:autoSpaceDE/>
        <w:autoSpaceDN/>
        <w:bidi w:val="0"/>
        <w:adjustRightInd/>
        <w:snapToGrid/>
        <w:ind w:left="1155" w:leftChars="400" w:hanging="315" w:hangingChars="150"/>
        <w:textAlignment w:val="auto"/>
        <w:outlineLvl w:val="9"/>
        <w:rPr>
          <w:rFonts w:hint="eastAsia" w:ascii="宋体" w:hAnsi="宋体" w:eastAsia="宋体" w:cs="宋体"/>
          <w:color w:val="000000"/>
          <w:sz w:val="21"/>
          <w:szCs w:val="21"/>
          <w:lang w:bidi="ar"/>
        </w:rPr>
      </w:pPr>
      <w:r>
        <w:rPr>
          <w:rFonts w:hint="eastAsia" w:ascii="宋体" w:hAnsi="宋体" w:eastAsia="宋体" w:cs="宋体"/>
          <w:color w:val="000000"/>
          <w:kern w:val="0"/>
          <w:szCs w:val="21"/>
          <w:lang w:bidi="ar"/>
        </w:rPr>
        <w:t>机构运营数据是指支撑医疗机构日</w:t>
      </w:r>
      <w:r>
        <w:rPr>
          <w:rFonts w:ascii="宋体" w:hAnsi="宋体" w:eastAsia="宋体" w:cs="宋体"/>
          <w:color w:val="000000"/>
          <w:kern w:val="0"/>
          <w:szCs w:val="21"/>
          <w:lang w:bidi="ar"/>
        </w:rPr>
        <w:t>常运行管理和服务</w:t>
      </w:r>
      <w:r>
        <w:rPr>
          <w:rFonts w:hint="eastAsia" w:ascii="宋体" w:hAnsi="宋体" w:eastAsia="宋体" w:cs="宋体"/>
          <w:color w:val="000000"/>
          <w:kern w:val="0"/>
          <w:szCs w:val="21"/>
          <w:lang w:bidi="ar"/>
        </w:rPr>
        <w:t>的数据集合，包括机构基础数据、机构医疗资源数据两个子类</w:t>
      </w:r>
      <w:r>
        <w:rPr>
          <w:rFonts w:hint="eastAsia" w:ascii="宋体" w:hAnsi="宋体" w:eastAsia="宋体" w:cs="宋体"/>
          <w:color w:val="000000"/>
          <w:sz w:val="21"/>
          <w:szCs w:val="21"/>
          <w:lang w:val="en-US" w:eastAsia="zh-CN" w:bidi="ar"/>
        </w:rPr>
        <w:t>；</w:t>
      </w:r>
    </w:p>
    <w:p>
      <w:pPr>
        <w:pStyle w:val="57"/>
        <w:keepNext w:val="0"/>
        <w:keepLines w:val="0"/>
        <w:pageBreakBefore w:val="0"/>
        <w:widowControl/>
        <w:numPr>
          <w:ilvl w:val="0"/>
          <w:numId w:val="12"/>
        </w:numPr>
        <w:kinsoku/>
        <w:wordWrap/>
        <w:overflowPunct/>
        <w:topLinePunct w:val="0"/>
        <w:autoSpaceDE/>
        <w:autoSpaceDN/>
        <w:bidi w:val="0"/>
        <w:adjustRightInd/>
        <w:snapToGrid/>
        <w:ind w:left="1155" w:leftChars="400" w:hanging="315" w:hangingChars="150"/>
        <w:textAlignment w:val="auto"/>
        <w:outlineLvl w:val="9"/>
        <w:rPr>
          <w:rFonts w:hint="eastAsia" w:asciiTheme="minorEastAsia" w:hAnsiTheme="minorEastAsia" w:eastAsiaTheme="minorEastAsia" w:cstheme="minorEastAsia"/>
          <w:sz w:val="21"/>
          <w:szCs w:val="21"/>
        </w:rPr>
      </w:pPr>
      <w:r>
        <w:rPr>
          <w:rFonts w:hint="eastAsia" w:ascii="宋体" w:hAnsi="宋体" w:eastAsia="宋体" w:cs="宋体"/>
          <w:color w:val="000000"/>
          <w:kern w:val="0"/>
          <w:szCs w:val="21"/>
          <w:lang w:bidi="ar"/>
        </w:rPr>
        <w:t>医疗应用数据是指机构在开展医疗活动中产生和收集的数据集合，包括基础就诊信息、病历信息、检查检验报告、用药信息、病程记录信息、手术记录信息、其他医疗就诊数据七个子类</w:t>
      </w:r>
      <w:r>
        <w:rPr>
          <w:rFonts w:hint="eastAsia" w:ascii="宋体" w:hAnsi="宋体" w:eastAsia="宋体" w:cs="宋体"/>
          <w:color w:val="000000"/>
          <w:kern w:val="0"/>
          <w:szCs w:val="21"/>
          <w:lang w:eastAsia="zh-CN" w:bidi="ar"/>
        </w:rPr>
        <w:t>；</w:t>
      </w:r>
    </w:p>
    <w:p>
      <w:pPr>
        <w:pStyle w:val="57"/>
        <w:keepNext w:val="0"/>
        <w:keepLines w:val="0"/>
        <w:pageBreakBefore w:val="0"/>
        <w:widowControl/>
        <w:numPr>
          <w:ilvl w:val="0"/>
          <w:numId w:val="12"/>
        </w:numPr>
        <w:kinsoku/>
        <w:wordWrap/>
        <w:overflowPunct/>
        <w:topLinePunct w:val="0"/>
        <w:autoSpaceDE/>
        <w:autoSpaceDN/>
        <w:bidi w:val="0"/>
        <w:adjustRightInd/>
        <w:snapToGrid/>
        <w:ind w:left="1155" w:leftChars="400" w:hanging="315" w:hangingChars="150"/>
        <w:textAlignment w:val="auto"/>
        <w:outlineLvl w:val="9"/>
        <w:rPr>
          <w:rFonts w:hint="eastAsia" w:asciiTheme="minorEastAsia" w:hAnsiTheme="minorEastAsia" w:eastAsiaTheme="minorEastAsia" w:cstheme="minorEastAsia"/>
          <w:sz w:val="21"/>
          <w:szCs w:val="21"/>
        </w:rPr>
      </w:pPr>
      <w:r>
        <w:rPr>
          <w:rFonts w:hint="eastAsia" w:ascii="宋体" w:hAnsi="宋体" w:eastAsia="宋体" w:cs="宋体"/>
          <w:color w:val="000000"/>
          <w:kern w:val="0"/>
          <w:szCs w:val="21"/>
          <w:lang w:bidi="ar"/>
        </w:rPr>
        <w:t>医疗支付数据是指医疗机构开展医疗活动中产生的财务数据的集合，包括交易信息、保险信息两个子类</w:t>
      </w:r>
      <w:r>
        <w:rPr>
          <w:rFonts w:hint="eastAsia" w:asciiTheme="minorEastAsia" w:hAnsiTheme="minorEastAsia" w:eastAsiaTheme="minorEastAsia" w:cstheme="minorEastAsia"/>
          <w:sz w:val="21"/>
          <w:szCs w:val="21"/>
          <w:lang w:val="en-US" w:eastAsia="zh-CN"/>
        </w:rPr>
        <w:t>；</w:t>
      </w:r>
    </w:p>
    <w:p>
      <w:pPr>
        <w:pStyle w:val="57"/>
        <w:keepNext w:val="0"/>
        <w:keepLines w:val="0"/>
        <w:pageBreakBefore w:val="0"/>
        <w:widowControl/>
        <w:numPr>
          <w:ilvl w:val="0"/>
          <w:numId w:val="12"/>
        </w:numPr>
        <w:kinsoku/>
        <w:wordWrap/>
        <w:overflowPunct/>
        <w:topLinePunct w:val="0"/>
        <w:autoSpaceDE/>
        <w:autoSpaceDN/>
        <w:bidi w:val="0"/>
        <w:adjustRightInd/>
        <w:snapToGrid/>
        <w:ind w:left="1155" w:leftChars="400" w:hanging="315" w:hangingChars="150"/>
        <w:textAlignment w:val="auto"/>
        <w:outlineLvl w:val="9"/>
        <w:rPr>
          <w:rFonts w:hint="eastAsia" w:asciiTheme="minorEastAsia" w:hAnsiTheme="minorEastAsia" w:eastAsiaTheme="minorEastAsia" w:cstheme="minorEastAsia"/>
          <w:sz w:val="21"/>
          <w:szCs w:val="21"/>
        </w:rPr>
      </w:pPr>
      <w:r>
        <w:rPr>
          <w:rFonts w:hint="eastAsia" w:ascii="宋体" w:hAnsi="宋体" w:eastAsia="宋体" w:cs="宋体"/>
          <w:color w:val="000000"/>
          <w:kern w:val="0"/>
          <w:szCs w:val="21"/>
          <w:lang w:bidi="ar"/>
        </w:rPr>
        <w:t>公共卫生数据是指医疗机构开展医疗活动中产生的呈现公共卫生概况的数据集合，包括环境卫生数据、传染病疫情数据、疾病监测预防数据、出生死亡数据、其他公共卫生数据五个子类</w:t>
      </w:r>
      <w:r>
        <w:rPr>
          <w:rFonts w:hint="eastAsia" w:ascii="宋体" w:hAnsi="宋体" w:eastAsia="宋体" w:cs="宋体"/>
          <w:color w:val="000000"/>
          <w:kern w:val="0"/>
          <w:szCs w:val="21"/>
          <w:lang w:eastAsia="zh-CN" w:bidi="ar"/>
        </w:rPr>
        <w:t>；</w:t>
      </w:r>
    </w:p>
    <w:p>
      <w:pPr>
        <w:pStyle w:val="57"/>
        <w:keepNext w:val="0"/>
        <w:keepLines w:val="0"/>
        <w:pageBreakBefore w:val="0"/>
        <w:widowControl/>
        <w:numPr>
          <w:ilvl w:val="0"/>
          <w:numId w:val="12"/>
        </w:numPr>
        <w:kinsoku/>
        <w:wordWrap/>
        <w:overflowPunct/>
        <w:topLinePunct w:val="0"/>
        <w:autoSpaceDE/>
        <w:autoSpaceDN/>
        <w:bidi w:val="0"/>
        <w:adjustRightInd/>
        <w:snapToGrid/>
        <w:ind w:left="1155" w:leftChars="400" w:hanging="315" w:hangingChars="150"/>
        <w:textAlignment w:val="auto"/>
        <w:outlineLvl w:val="9"/>
        <w:rPr>
          <w:rFonts w:hint="eastAsia" w:asciiTheme="minorEastAsia" w:hAnsiTheme="minorEastAsia" w:eastAsiaTheme="minorEastAsia" w:cstheme="minorEastAsia"/>
          <w:sz w:val="21"/>
          <w:szCs w:val="21"/>
        </w:rPr>
      </w:pPr>
      <w:r>
        <w:rPr>
          <w:rFonts w:hint="eastAsia" w:ascii="宋体" w:hAnsi="宋体" w:eastAsia="宋体" w:cs="宋体"/>
          <w:color w:val="000000"/>
          <w:kern w:val="0"/>
          <w:szCs w:val="21"/>
          <w:lang w:bidi="ar"/>
        </w:rPr>
        <w:t>医学教育研究数据是指医疗机构开展医学研究和教育培训活动中产生和收集的数据集合，包括医学教育宣传数据、医疗科研数据两个子类</w:t>
      </w:r>
      <w:r>
        <w:rPr>
          <w:rFonts w:hint="eastAsia" w:ascii="宋体" w:hAnsi="宋体" w:eastAsia="宋体" w:cs="宋体"/>
          <w:color w:val="000000"/>
          <w:kern w:val="0"/>
          <w:szCs w:val="21"/>
          <w:lang w:eastAsia="zh-CN" w:bidi="ar"/>
        </w:rPr>
        <w:t>；</w:t>
      </w:r>
    </w:p>
    <w:p>
      <w:pPr>
        <w:pStyle w:val="57"/>
        <w:keepNext w:val="0"/>
        <w:keepLines w:val="0"/>
        <w:pageBreakBefore w:val="0"/>
        <w:widowControl/>
        <w:numPr>
          <w:ilvl w:val="0"/>
          <w:numId w:val="12"/>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rPr>
      </w:pPr>
      <w:r>
        <w:rPr>
          <w:rFonts w:hint="eastAsia" w:ascii="宋体" w:hAnsi="宋体" w:eastAsia="宋体" w:cs="宋体"/>
          <w:color w:val="000000"/>
          <w:kern w:val="0"/>
          <w:szCs w:val="21"/>
          <w:lang w:bidi="ar"/>
        </w:rPr>
        <w:t>其他数据是指不属于以上分类的数据</w:t>
      </w:r>
      <w:r>
        <w:rPr>
          <w:rFonts w:hint="eastAsia" w:hAnsi="宋体" w:cs="宋体"/>
          <w:color w:val="000000"/>
          <w:kern w:val="0"/>
          <w:szCs w:val="21"/>
          <w:lang w:eastAsia="zh-CN" w:bidi="ar"/>
        </w:rPr>
        <w:t>。</w:t>
      </w:r>
    </w:p>
    <w:p>
      <w:pPr>
        <w:pStyle w:val="57"/>
        <w:numPr>
          <w:ilvl w:val="0"/>
          <w:numId w:val="11"/>
        </w:numPr>
        <w:ind w:left="840" w:leftChars="200" w:hanging="420" w:hangingChars="200"/>
        <w:rPr>
          <w:rFonts w:hint="eastAsia" w:eastAsia="宋体" w:cs="宋体" w:asciiTheme="minorEastAsia" w:hAnsiTheme="minorEastAsia"/>
          <w:color w:val="000000"/>
          <w:szCs w:val="21"/>
          <w:lang w:bidi="ar"/>
        </w:rPr>
      </w:pPr>
      <w:r>
        <w:rPr>
          <w:rFonts w:hint="eastAsia" w:eastAsia="宋体" w:cs="宋体" w:asciiTheme="minorEastAsia" w:hAnsiTheme="minorEastAsia"/>
          <w:color w:val="000000"/>
          <w:sz w:val="21"/>
          <w:szCs w:val="21"/>
          <w:lang w:bidi="ar"/>
        </w:rPr>
        <w:t>医疗机构数据一、二级分类参考见附录A</w:t>
      </w:r>
      <w:r>
        <w:rPr>
          <w:rFonts w:hint="eastAsia" w:cs="宋体" w:asciiTheme="minorEastAsia" w:hAnsiTheme="minorEastAsia"/>
          <w:color w:val="000000"/>
          <w:sz w:val="21"/>
          <w:szCs w:val="21"/>
          <w:lang w:eastAsia="zh-CN" w:bidi="ar"/>
        </w:rPr>
        <w:t>。</w:t>
      </w:r>
    </w:p>
    <w:p>
      <w:pPr>
        <w:pStyle w:val="57"/>
        <w:numPr>
          <w:ilvl w:val="0"/>
          <w:numId w:val="11"/>
        </w:numPr>
        <w:ind w:left="840" w:leftChars="200" w:hanging="420" w:hangingChars="200"/>
        <w:rPr>
          <w:rFonts w:hint="eastAsia" w:eastAsia="宋体" w:cs="宋体" w:asciiTheme="minorEastAsia" w:hAnsiTheme="minorEastAsia"/>
          <w:color w:val="000000"/>
          <w:szCs w:val="21"/>
          <w:lang w:bidi="ar"/>
        </w:rPr>
      </w:pPr>
      <w:r>
        <w:rPr>
          <w:rFonts w:hint="eastAsia" w:eastAsia="宋体" w:cs="宋体" w:asciiTheme="minorEastAsia" w:hAnsiTheme="minorEastAsia"/>
          <w:color w:val="000000"/>
          <w:szCs w:val="21"/>
          <w:lang w:bidi="ar"/>
        </w:rPr>
        <w:t>在一级类别、二级类别的基础上，医疗机构根据工作需要进行子类细分。可细分为三级类别、四级类别，以方便确定等级</w:t>
      </w:r>
      <w:r>
        <w:rPr>
          <w:rFonts w:hint="eastAsia" w:cs="宋体" w:asciiTheme="minorEastAsia" w:hAnsiTheme="minorEastAsia"/>
          <w:color w:val="000000"/>
          <w:szCs w:val="21"/>
          <w:lang w:eastAsia="zh-CN" w:bidi="ar"/>
        </w:rPr>
        <w:t>。</w:t>
      </w:r>
    </w:p>
    <w:p>
      <w:pPr>
        <w:pStyle w:val="57"/>
        <w:numPr>
          <w:ilvl w:val="0"/>
          <w:numId w:val="11"/>
        </w:numPr>
        <w:ind w:left="840" w:leftChars="200" w:hanging="420" w:hangingChars="200"/>
        <w:rPr>
          <w:rFonts w:hint="eastAsia" w:eastAsia="宋体" w:cs="宋体" w:asciiTheme="minorEastAsia" w:hAnsiTheme="minorEastAsia"/>
          <w:color w:val="000000"/>
          <w:szCs w:val="21"/>
          <w:lang w:bidi="ar"/>
        </w:rPr>
      </w:pPr>
      <w:r>
        <w:rPr>
          <w:rFonts w:hint="eastAsia" w:eastAsia="宋体" w:cs="宋体" w:asciiTheme="minorEastAsia" w:hAnsiTheme="minorEastAsia"/>
          <w:color w:val="000000"/>
          <w:szCs w:val="21"/>
          <w:lang w:bidi="ar"/>
        </w:rPr>
        <w:t>如涉及法律法规有专门管理要求的数据类别（如个人信息等），应按照有关规定和标准进行识别和分类。</w:t>
      </w:r>
    </w:p>
    <w:p>
      <w:pPr>
        <w:pStyle w:val="67"/>
        <w:rPr>
          <w:rFonts w:hint="eastAsia" w:ascii="黑体" w:hAnsi="Times New Roman" w:eastAsia="黑体"/>
          <w:b w:val="0"/>
          <w:sz w:val="21"/>
          <w:szCs w:val="20"/>
        </w:rPr>
      </w:pPr>
      <w:bookmarkStart w:id="85" w:name="_Toc169775911"/>
      <w:bookmarkStart w:id="86" w:name="_Toc1079713528"/>
      <w:bookmarkStart w:id="87" w:name="_Toc5365"/>
      <w:r>
        <w:rPr>
          <w:rFonts w:hint="eastAsia" w:ascii="黑体" w:hAnsi="Times New Roman" w:eastAsia="黑体"/>
          <w:b w:val="0"/>
          <w:sz w:val="21"/>
          <w:szCs w:val="20"/>
        </w:rPr>
        <w:t>分类方法</w:t>
      </w:r>
      <w:bookmarkEnd w:id="85"/>
      <w:bookmarkEnd w:id="86"/>
      <w:bookmarkEnd w:id="87"/>
    </w:p>
    <w:p>
      <w:pPr>
        <w:widowControl/>
        <w:ind w:firstLine="420" w:firstLineChars="200"/>
        <w:jc w:val="left"/>
        <w:rPr>
          <w:rFonts w:hint="eastAsia" w:cs="宋体" w:asciiTheme="minorEastAsia" w:hAnsiTheme="minorEastAsia" w:eastAsiaTheme="minorEastAsia"/>
          <w:color w:val="000000"/>
          <w:kern w:val="0"/>
          <w:szCs w:val="21"/>
          <w:lang w:eastAsia="zh-CN" w:bidi="ar"/>
        </w:rPr>
      </w:pPr>
      <w:r>
        <w:rPr>
          <w:rFonts w:hint="eastAsia" w:cs="宋体" w:asciiTheme="minorEastAsia" w:hAnsiTheme="minorEastAsia"/>
          <w:color w:val="000000"/>
          <w:kern w:val="0"/>
          <w:szCs w:val="21"/>
          <w:lang w:bidi="ar"/>
        </w:rPr>
        <w:t>医疗机构</w:t>
      </w:r>
      <w:r>
        <w:rPr>
          <w:rFonts w:cs="宋体" w:asciiTheme="minorEastAsia" w:hAnsiTheme="minorEastAsia"/>
          <w:color w:val="000000"/>
          <w:kern w:val="0"/>
          <w:szCs w:val="21"/>
          <w:lang w:bidi="ar"/>
        </w:rPr>
        <w:t>数据分类可根据数据</w:t>
      </w:r>
      <w:r>
        <w:rPr>
          <w:rFonts w:hint="eastAsia" w:cs="宋体" w:asciiTheme="minorEastAsia" w:hAnsiTheme="minorEastAsia"/>
          <w:color w:val="000000"/>
          <w:kern w:val="0"/>
          <w:szCs w:val="21"/>
          <w:lang w:bidi="ar"/>
        </w:rPr>
        <w:t>有效保护、合法利用和持续安全的实际需要，</w:t>
      </w:r>
      <w:r>
        <w:rPr>
          <w:rFonts w:cs="宋体" w:asciiTheme="minorEastAsia" w:hAnsiTheme="minorEastAsia"/>
          <w:color w:val="000000"/>
          <w:kern w:val="0"/>
          <w:szCs w:val="21"/>
          <w:lang w:bidi="ar"/>
        </w:rPr>
        <w:t>结合已有数据分类</w:t>
      </w:r>
      <w:r>
        <w:rPr>
          <w:rFonts w:hint="eastAsia" w:cs="宋体" w:asciiTheme="minorEastAsia" w:hAnsiTheme="minorEastAsia"/>
          <w:color w:val="000000"/>
          <w:kern w:val="0"/>
          <w:szCs w:val="21"/>
          <w:lang w:bidi="ar"/>
        </w:rPr>
        <w:t>框架（参见5.1）</w:t>
      </w:r>
      <w:r>
        <w:rPr>
          <w:rFonts w:cs="宋体" w:asciiTheme="minorEastAsia" w:hAnsiTheme="minorEastAsia"/>
          <w:color w:val="000000"/>
          <w:kern w:val="0"/>
          <w:szCs w:val="21"/>
          <w:lang w:bidi="ar"/>
        </w:rPr>
        <w:t>，</w:t>
      </w:r>
      <w:r>
        <w:rPr>
          <w:rFonts w:hint="eastAsia" w:cs="宋体" w:asciiTheme="minorEastAsia" w:hAnsiTheme="minorEastAsia"/>
          <w:color w:val="000000"/>
          <w:kern w:val="0"/>
          <w:szCs w:val="21"/>
          <w:lang w:bidi="ar"/>
        </w:rPr>
        <w:t>使用线分类法、面分类法、混合分类法等方法，灵</w:t>
      </w:r>
      <w:r>
        <w:rPr>
          <w:rFonts w:cs="宋体" w:asciiTheme="minorEastAsia" w:hAnsiTheme="minorEastAsia"/>
          <w:color w:val="000000"/>
          <w:kern w:val="0"/>
          <w:szCs w:val="21"/>
          <w:lang w:bidi="ar"/>
        </w:rPr>
        <w:t>活选择业务</w:t>
      </w:r>
      <w:r>
        <w:rPr>
          <w:rFonts w:hint="eastAsia" w:cs="宋体" w:asciiTheme="minorEastAsia" w:hAnsiTheme="minorEastAsia"/>
          <w:color w:val="000000"/>
          <w:kern w:val="0"/>
          <w:szCs w:val="21"/>
          <w:lang w:bidi="ar"/>
        </w:rPr>
        <w:t>领域和数据属性</w:t>
      </w:r>
      <w:r>
        <w:rPr>
          <w:rFonts w:cs="宋体" w:asciiTheme="minorEastAsia" w:hAnsiTheme="minorEastAsia"/>
          <w:color w:val="000000"/>
          <w:kern w:val="0"/>
          <w:szCs w:val="21"/>
          <w:lang w:bidi="ar"/>
        </w:rPr>
        <w:t>将数据细化分类。具体参考以下步骤开展数据分类</w:t>
      </w:r>
      <w:r>
        <w:rPr>
          <w:rFonts w:hint="eastAsia" w:cs="宋体" w:asciiTheme="minorEastAsia" w:hAnsiTheme="minorEastAsia"/>
          <w:color w:val="000000"/>
          <w:kern w:val="0"/>
          <w:szCs w:val="21"/>
          <w:lang w:eastAsia="zh-CN" w:bidi="ar"/>
        </w:rPr>
        <w:t>。</w:t>
      </w:r>
    </w:p>
    <w:p>
      <w:pPr>
        <w:pStyle w:val="57"/>
        <w:numPr>
          <w:ilvl w:val="0"/>
          <w:numId w:val="13"/>
        </w:numPr>
        <w:ind w:left="840" w:leftChars="200" w:hanging="420" w:hangingChars="200"/>
        <w:rPr>
          <w:rFonts w:hint="eastAsia" w:eastAsia="宋体" w:cs="宋体" w:asciiTheme="minorEastAsia" w:hAnsiTheme="minorEastAsia"/>
          <w:color w:val="000000"/>
          <w:szCs w:val="21"/>
          <w:lang w:bidi="ar"/>
        </w:rPr>
      </w:pPr>
      <w:r>
        <w:rPr>
          <w:rFonts w:hint="eastAsia" w:eastAsia="宋体" w:cs="宋体" w:asciiTheme="minorEastAsia" w:hAnsiTheme="minorEastAsia"/>
          <w:color w:val="000000"/>
          <w:szCs w:val="21"/>
          <w:lang w:bidi="ar"/>
        </w:rPr>
        <w:t>明确数据范围：按照医疗机构主管（监管）部门职责，明确本机构管理的数据范围</w:t>
      </w:r>
      <w:r>
        <w:rPr>
          <w:rFonts w:hint="eastAsia" w:cs="宋体" w:asciiTheme="minorEastAsia" w:hAnsiTheme="minorEastAsia"/>
          <w:color w:val="000000"/>
          <w:szCs w:val="21"/>
          <w:lang w:eastAsia="zh-CN" w:bidi="ar"/>
        </w:rPr>
        <w:t>。</w:t>
      </w:r>
    </w:p>
    <w:p>
      <w:pPr>
        <w:pStyle w:val="57"/>
        <w:numPr>
          <w:ilvl w:val="0"/>
          <w:numId w:val="13"/>
        </w:numPr>
        <w:ind w:left="840" w:leftChars="200" w:hanging="420" w:hangingChars="200"/>
        <w:rPr>
          <w:rFonts w:hint="eastAsia" w:eastAsia="宋体" w:cs="宋体" w:asciiTheme="minorEastAsia" w:hAnsiTheme="minorEastAsia"/>
          <w:color w:val="000000"/>
          <w:szCs w:val="21"/>
          <w:lang w:bidi="ar"/>
        </w:rPr>
      </w:pPr>
      <w:r>
        <w:rPr>
          <w:rFonts w:hint="eastAsia" w:eastAsia="宋体" w:cs="宋体" w:asciiTheme="minorEastAsia" w:hAnsiTheme="minorEastAsia"/>
          <w:color w:val="000000"/>
          <w:szCs w:val="21"/>
          <w:lang w:bidi="ar"/>
        </w:rPr>
        <w:t>细化业务分类：对本机构业务进行细化分类，包括：</w:t>
      </w:r>
    </w:p>
    <w:p>
      <w:pPr>
        <w:pStyle w:val="57"/>
        <w:numPr>
          <w:ilvl w:val="0"/>
          <w:numId w:val="14"/>
        </w:numPr>
        <w:ind w:left="1260" w:leftChars="400" w:hanging="420" w:hangingChars="200"/>
        <w:outlineLvl w:val="9"/>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结合部门职责分工，明确</w:t>
      </w:r>
      <w:r>
        <w:rPr>
          <w:rFonts w:hint="default" w:ascii="宋体" w:hAnsi="宋体" w:eastAsia="宋体" w:cs="宋体"/>
          <w:color w:val="000000"/>
          <w:kern w:val="0"/>
          <w:szCs w:val="21"/>
          <w:lang w:bidi="ar"/>
        </w:rPr>
        <w:t>医疗机构</w:t>
      </w:r>
      <w:r>
        <w:rPr>
          <w:rFonts w:hint="eastAsia" w:ascii="宋体" w:hAnsi="宋体" w:eastAsia="宋体" w:cs="宋体"/>
          <w:color w:val="000000"/>
          <w:kern w:val="0"/>
          <w:szCs w:val="21"/>
          <w:lang w:bidi="ar"/>
        </w:rPr>
        <w:t>或业务条线的分类；</w:t>
      </w:r>
    </w:p>
    <w:p>
      <w:pPr>
        <w:pStyle w:val="57"/>
        <w:numPr>
          <w:ilvl w:val="0"/>
          <w:numId w:val="14"/>
        </w:numPr>
        <w:ind w:left="1260" w:leftChars="400" w:hanging="420" w:hangingChars="200"/>
        <w:outlineLvl w:val="9"/>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按照业务范围、运营模式、业务流程等，细化</w:t>
      </w:r>
      <w:r>
        <w:rPr>
          <w:rFonts w:hint="default" w:ascii="宋体" w:hAnsi="宋体" w:eastAsia="宋体" w:cs="宋体"/>
          <w:color w:val="000000"/>
          <w:kern w:val="0"/>
          <w:szCs w:val="21"/>
          <w:lang w:bidi="ar"/>
        </w:rPr>
        <w:t>医疗机构或</w:t>
      </w:r>
      <w:r>
        <w:rPr>
          <w:rFonts w:hint="eastAsia" w:ascii="宋体" w:hAnsi="宋体" w:eastAsia="宋体" w:cs="宋体"/>
          <w:color w:val="000000"/>
          <w:kern w:val="0"/>
          <w:szCs w:val="21"/>
          <w:lang w:bidi="ar"/>
        </w:rPr>
        <w:t>明确各业务条线的关键业务分类</w:t>
      </w:r>
      <w:r>
        <w:rPr>
          <w:rFonts w:hint="eastAsia" w:hAnsi="宋体" w:cs="宋体"/>
          <w:color w:val="000000"/>
          <w:kern w:val="0"/>
          <w:szCs w:val="21"/>
          <w:lang w:eastAsia="zh-CN" w:bidi="ar"/>
        </w:rPr>
        <w:t>。</w:t>
      </w:r>
    </w:p>
    <w:p>
      <w:pPr>
        <w:pStyle w:val="57"/>
        <w:numPr>
          <w:ilvl w:val="0"/>
          <w:numId w:val="13"/>
        </w:numPr>
        <w:ind w:left="840" w:leftChars="200" w:hanging="420" w:hangingChars="200"/>
        <w:rPr>
          <w:rFonts w:cs="宋体" w:asciiTheme="minorEastAsia" w:hAnsiTheme="minorEastAsia"/>
          <w:color w:val="000000"/>
          <w:szCs w:val="21"/>
          <w:lang w:bidi="ar"/>
        </w:rPr>
      </w:pPr>
      <w:r>
        <w:rPr>
          <w:rFonts w:cs="宋体" w:asciiTheme="minorEastAsia" w:hAnsiTheme="minorEastAsia"/>
          <w:color w:val="000000"/>
          <w:szCs w:val="21"/>
          <w:lang w:bidi="ar"/>
        </w:rPr>
        <w:t>业务属性分类：选择合适的业务属性，对关键业务的数据进行细化分类</w:t>
      </w:r>
      <w:r>
        <w:rPr>
          <w:rFonts w:hint="eastAsia" w:cs="宋体" w:asciiTheme="minorEastAsia" w:hAnsiTheme="minorEastAsia"/>
          <w:color w:val="000000"/>
          <w:szCs w:val="21"/>
          <w:lang w:eastAsia="zh-CN" w:bidi="ar"/>
        </w:rPr>
        <w:t>。</w:t>
      </w:r>
    </w:p>
    <w:p>
      <w:pPr>
        <w:pStyle w:val="57"/>
        <w:numPr>
          <w:ilvl w:val="0"/>
          <w:numId w:val="13"/>
        </w:numPr>
        <w:ind w:left="840" w:leftChars="200" w:hanging="420" w:hangingChars="200"/>
        <w:rPr>
          <w:rFonts w:cs="宋体" w:asciiTheme="minorEastAsia" w:hAnsiTheme="minorEastAsia"/>
          <w:color w:val="000000"/>
          <w:szCs w:val="21"/>
          <w:lang w:bidi="ar"/>
        </w:rPr>
      </w:pPr>
      <w:r>
        <w:rPr>
          <w:rFonts w:cs="宋体" w:asciiTheme="minorEastAsia" w:hAnsiTheme="minorEastAsia"/>
          <w:color w:val="000000"/>
          <w:szCs w:val="21"/>
          <w:lang w:bidi="ar"/>
        </w:rPr>
        <w:t>确定分类</w:t>
      </w:r>
      <w:r>
        <w:rPr>
          <w:rFonts w:hint="eastAsia" w:cs="宋体" w:asciiTheme="minorEastAsia" w:hAnsiTheme="minorEastAsia"/>
          <w:color w:val="000000"/>
          <w:szCs w:val="21"/>
          <w:lang w:bidi="ar"/>
        </w:rPr>
        <w:t>规则</w:t>
      </w:r>
      <w:r>
        <w:rPr>
          <w:rFonts w:cs="宋体" w:asciiTheme="minorEastAsia" w:hAnsiTheme="minorEastAsia"/>
          <w:color w:val="000000"/>
          <w:szCs w:val="21"/>
          <w:lang w:bidi="ar"/>
        </w:rPr>
        <w:t>：梳理分析各关键业务的数据分类结果，根据</w:t>
      </w:r>
      <w:r>
        <w:rPr>
          <w:rFonts w:hint="eastAsia" w:cs="宋体" w:asciiTheme="minorEastAsia" w:hAnsiTheme="minorEastAsia"/>
          <w:color w:val="000000"/>
          <w:szCs w:val="21"/>
          <w:lang w:bidi="ar"/>
        </w:rPr>
        <w:t>本机构</w:t>
      </w:r>
      <w:r>
        <w:rPr>
          <w:rFonts w:cs="宋体" w:asciiTheme="minorEastAsia" w:hAnsiTheme="minorEastAsia"/>
          <w:color w:val="000000"/>
          <w:szCs w:val="21"/>
          <w:lang w:bidi="ar"/>
        </w:rPr>
        <w:t>数据管理和使用需求，确定</w:t>
      </w:r>
      <w:r>
        <w:rPr>
          <w:rFonts w:hint="eastAsia" w:cs="宋体" w:asciiTheme="minorEastAsia" w:hAnsiTheme="minorEastAsia"/>
          <w:color w:val="000000"/>
          <w:szCs w:val="21"/>
          <w:lang w:bidi="ar"/>
        </w:rPr>
        <w:t>本机构</w:t>
      </w:r>
      <w:r>
        <w:rPr>
          <w:rFonts w:cs="宋体" w:asciiTheme="minorEastAsia" w:hAnsiTheme="minorEastAsia"/>
          <w:color w:val="000000"/>
          <w:szCs w:val="21"/>
          <w:lang w:bidi="ar"/>
        </w:rPr>
        <w:t>数据分类规则，例如：</w:t>
      </w:r>
    </w:p>
    <w:p>
      <w:pPr>
        <w:pStyle w:val="57"/>
        <w:numPr>
          <w:ilvl w:val="0"/>
          <w:numId w:val="15"/>
        </w:numPr>
        <w:ind w:left="1260" w:leftChars="400" w:hanging="420" w:hangingChars="200"/>
        <w:outlineLvl w:val="9"/>
        <w:rPr>
          <w:rFonts w:ascii="宋体" w:hAnsi="宋体" w:eastAsia="宋体" w:cs="宋体"/>
          <w:color w:val="000000"/>
          <w:kern w:val="0"/>
          <w:szCs w:val="21"/>
          <w:lang w:bidi="ar"/>
        </w:rPr>
      </w:pPr>
      <w:r>
        <w:rPr>
          <w:rFonts w:ascii="宋体" w:hAnsi="宋体" w:eastAsia="宋体" w:cs="宋体"/>
          <w:color w:val="000000"/>
          <w:kern w:val="0"/>
          <w:szCs w:val="21"/>
          <w:lang w:bidi="ar"/>
        </w:rPr>
        <w:t>可采取“业务条线—关键业务—业务属性分类”的方式给出数据分类规则；</w:t>
      </w:r>
    </w:p>
    <w:p>
      <w:pPr>
        <w:pStyle w:val="57"/>
        <w:numPr>
          <w:ilvl w:val="0"/>
          <w:numId w:val="15"/>
        </w:numPr>
        <w:ind w:left="1260" w:leftChars="400" w:hanging="420" w:hangingChars="200"/>
        <w:outlineLvl w:val="9"/>
        <w:rPr>
          <w:rFonts w:ascii="宋体" w:hAnsi="宋体" w:eastAsia="宋体" w:cs="宋体"/>
          <w:color w:val="000000"/>
          <w:kern w:val="0"/>
          <w:szCs w:val="21"/>
          <w:lang w:bidi="ar"/>
        </w:rPr>
      </w:pPr>
      <w:r>
        <w:rPr>
          <w:rFonts w:ascii="宋体" w:hAnsi="宋体" w:eastAsia="宋体" w:cs="宋体"/>
          <w:color w:val="000000"/>
          <w:kern w:val="0"/>
          <w:szCs w:val="21"/>
          <w:lang w:bidi="ar"/>
        </w:rPr>
        <w:t>也可对关键业务的数据分类结果进行归类分析，将具有相似主题的数据子类进行归类。</w:t>
      </w:r>
    </w:p>
    <w:p>
      <w:pPr>
        <w:pStyle w:val="68"/>
        <w:rPr>
          <w:rFonts w:ascii="黑体" w:hAnsi="黑体" w:eastAsia="黑体"/>
          <w:b w:val="0"/>
          <w:sz w:val="21"/>
          <w:szCs w:val="21"/>
        </w:rPr>
      </w:pPr>
      <w:bookmarkStart w:id="88" w:name="_Toc508447946"/>
      <w:bookmarkStart w:id="89" w:name="_Toc169775912"/>
      <w:bookmarkStart w:id="90" w:name="_Toc10475"/>
      <w:r>
        <w:rPr>
          <w:rFonts w:hint="eastAsia" w:ascii="黑体" w:hAnsi="黑体" w:eastAsia="黑体"/>
          <w:b w:val="0"/>
          <w:sz w:val="21"/>
          <w:szCs w:val="21"/>
        </w:rPr>
        <w:t>数据分级</w:t>
      </w:r>
      <w:bookmarkEnd w:id="88"/>
      <w:bookmarkEnd w:id="89"/>
      <w:bookmarkEnd w:id="90"/>
    </w:p>
    <w:p>
      <w:pPr>
        <w:pStyle w:val="67"/>
        <w:rPr>
          <w:rFonts w:ascii="黑体" w:hAnsi="黑体" w:eastAsia="黑体"/>
          <w:b w:val="0"/>
          <w:sz w:val="21"/>
          <w:szCs w:val="21"/>
        </w:rPr>
      </w:pPr>
      <w:bookmarkStart w:id="91" w:name="_Toc169775913"/>
      <w:bookmarkStart w:id="92" w:name="_Toc26662"/>
      <w:bookmarkStart w:id="93" w:name="_Toc647197009"/>
      <w:r>
        <w:rPr>
          <w:rFonts w:hint="eastAsia" w:ascii="黑体" w:hAnsi="黑体" w:eastAsia="黑体"/>
          <w:b w:val="0"/>
          <w:sz w:val="21"/>
          <w:szCs w:val="21"/>
        </w:rPr>
        <w:t>分级框架</w:t>
      </w:r>
      <w:bookmarkEnd w:id="91"/>
      <w:bookmarkEnd w:id="92"/>
      <w:bookmarkEnd w:id="93"/>
    </w:p>
    <w:p>
      <w:pPr>
        <w:widowControl/>
        <w:ind w:firstLine="420" w:firstLineChars="200"/>
        <w:jc w:val="left"/>
        <w:rPr>
          <w:rFonts w:cs="宋体" w:asciiTheme="minorEastAsia" w:hAnsiTheme="minorEastAsia"/>
          <w:color w:val="000000"/>
          <w:kern w:val="0"/>
          <w:sz w:val="21"/>
          <w:szCs w:val="21"/>
          <w:lang w:bidi="ar"/>
        </w:rPr>
      </w:pPr>
      <w:r>
        <w:rPr>
          <w:rFonts w:cs="宋体" w:asciiTheme="minorEastAsia" w:hAnsiTheme="minorEastAsia"/>
          <w:color w:val="000000"/>
          <w:kern w:val="0"/>
          <w:sz w:val="21"/>
          <w:szCs w:val="21"/>
          <w:lang w:bidi="ar"/>
        </w:rPr>
        <w:t>根据</w:t>
      </w:r>
      <w:r>
        <w:rPr>
          <w:rFonts w:hint="eastAsia" w:cs="宋体" w:asciiTheme="minorEastAsia" w:hAnsiTheme="minorEastAsia"/>
          <w:color w:val="000000"/>
          <w:kern w:val="0"/>
          <w:sz w:val="21"/>
          <w:szCs w:val="21"/>
          <w:lang w:bidi="ar"/>
        </w:rPr>
        <w:t>医疗机构</w:t>
      </w:r>
      <w:r>
        <w:rPr>
          <w:rFonts w:cs="宋体" w:asciiTheme="minorEastAsia" w:hAnsiTheme="minorEastAsia"/>
          <w:color w:val="000000"/>
          <w:kern w:val="0"/>
          <w:sz w:val="21"/>
          <w:szCs w:val="21"/>
          <w:lang w:bidi="ar"/>
        </w:rPr>
        <w:t>数据在经济社会发展中的重要程度，</w:t>
      </w:r>
      <w:r>
        <w:rPr>
          <w:rFonts w:hint="eastAsia" w:cs="宋体" w:asciiTheme="minorEastAsia" w:hAnsiTheme="minorEastAsia"/>
          <w:color w:val="000000"/>
          <w:kern w:val="0"/>
          <w:sz w:val="21"/>
          <w:szCs w:val="21"/>
          <w:lang w:bidi="ar"/>
        </w:rPr>
        <w:t>以及一旦遭到泄露、篡改、损毁或者非法获取、非法使用、非法共享，对国家安全、经济运行、社会秩序、公共利益、组织权益、个人权益造成的危害程度，将医疗机构</w:t>
      </w:r>
      <w:r>
        <w:rPr>
          <w:rFonts w:cs="宋体" w:asciiTheme="minorEastAsia" w:hAnsiTheme="minorEastAsia"/>
          <w:color w:val="000000"/>
          <w:kern w:val="0"/>
          <w:sz w:val="21"/>
          <w:szCs w:val="21"/>
          <w:lang w:bidi="ar"/>
        </w:rPr>
        <w:t>数据从高到低分为核心数据（L5）、重要数据（L4）和一般数据，其中一般数据</w:t>
      </w:r>
      <w:r>
        <w:rPr>
          <w:rFonts w:hint="eastAsia" w:cs="宋体" w:asciiTheme="minorEastAsia" w:hAnsiTheme="minorEastAsia"/>
          <w:color w:val="000000"/>
          <w:kern w:val="0"/>
          <w:sz w:val="21"/>
          <w:szCs w:val="21"/>
          <w:lang w:bidi="ar"/>
        </w:rPr>
        <w:t>细</w:t>
      </w:r>
      <w:r>
        <w:rPr>
          <w:rFonts w:cs="宋体" w:asciiTheme="minorEastAsia" w:hAnsiTheme="minorEastAsia"/>
          <w:color w:val="000000"/>
          <w:kern w:val="0"/>
          <w:sz w:val="21"/>
          <w:szCs w:val="21"/>
          <w:lang w:bidi="ar"/>
        </w:rPr>
        <w:t>分为三级（L3、L2、L1）</w:t>
      </w:r>
      <w:r>
        <w:rPr>
          <w:rFonts w:hint="eastAsia" w:cs="宋体" w:asciiTheme="minorEastAsia" w:hAnsiTheme="minorEastAsia"/>
          <w:color w:val="000000"/>
          <w:kern w:val="0"/>
          <w:sz w:val="21"/>
          <w:szCs w:val="21"/>
          <w:lang w:bidi="ar"/>
        </w:rPr>
        <w:t>，与国家和行业的数据分类分级要求相对应。</w:t>
      </w:r>
    </w:p>
    <w:p>
      <w:pPr>
        <w:pStyle w:val="67"/>
        <w:rPr>
          <w:rFonts w:ascii="黑体" w:hAnsi="黑体" w:eastAsia="黑体"/>
          <w:b w:val="0"/>
          <w:sz w:val="21"/>
          <w:szCs w:val="21"/>
        </w:rPr>
      </w:pPr>
      <w:bookmarkStart w:id="94" w:name="_Toc435458208"/>
      <w:bookmarkStart w:id="95" w:name="_Toc13901"/>
      <w:bookmarkStart w:id="96" w:name="_Toc169775914"/>
      <w:r>
        <w:rPr>
          <w:rFonts w:hint="eastAsia" w:ascii="黑体" w:hAnsi="黑体" w:eastAsia="黑体"/>
          <w:b w:val="0"/>
          <w:sz w:val="21"/>
          <w:szCs w:val="21"/>
        </w:rPr>
        <w:t>分级方法</w:t>
      </w:r>
      <w:bookmarkEnd w:id="94"/>
      <w:bookmarkEnd w:id="95"/>
      <w:bookmarkEnd w:id="96"/>
    </w:p>
    <w:p>
      <w:pPr>
        <w:widowControl/>
        <w:ind w:firstLine="420" w:firstLineChars="200"/>
        <w:jc w:val="left"/>
        <w:rPr>
          <w:rFonts w:hint="eastAsia" w:cs="宋体" w:asciiTheme="minorEastAsia" w:hAnsiTheme="minorEastAsia" w:eastAsiaTheme="minorEastAsia"/>
          <w:color w:val="FF0000"/>
          <w:kern w:val="0"/>
          <w:szCs w:val="21"/>
          <w:lang w:eastAsia="zh-CN" w:bidi="ar"/>
        </w:rPr>
      </w:pPr>
      <w:r>
        <w:rPr>
          <w:rFonts w:hint="eastAsia" w:cs="宋体" w:asciiTheme="minorEastAsia" w:hAnsiTheme="minorEastAsia"/>
          <w:color w:val="000000"/>
          <w:kern w:val="0"/>
          <w:sz w:val="21"/>
          <w:szCs w:val="21"/>
          <w:lang w:bidi="ar"/>
        </w:rPr>
        <w:t>医疗机构</w:t>
      </w:r>
      <w:r>
        <w:rPr>
          <w:rFonts w:cs="宋体" w:asciiTheme="minorEastAsia" w:hAnsiTheme="minorEastAsia"/>
          <w:color w:val="000000"/>
          <w:kern w:val="0"/>
          <w:sz w:val="21"/>
          <w:szCs w:val="21"/>
          <w:lang w:bidi="ar"/>
        </w:rPr>
        <w:t>数据分级，</w:t>
      </w:r>
      <w:r>
        <w:rPr>
          <w:rFonts w:cs="宋体" w:asciiTheme="minorEastAsia" w:hAnsiTheme="minorEastAsia"/>
          <w:kern w:val="0"/>
          <w:sz w:val="21"/>
          <w:szCs w:val="21"/>
          <w:lang w:bidi="ar"/>
        </w:rPr>
        <w:t>可</w:t>
      </w:r>
      <w:r>
        <w:rPr>
          <w:rFonts w:hint="eastAsia" w:cs="宋体" w:asciiTheme="minorEastAsia" w:hAnsiTheme="minorEastAsia"/>
          <w:kern w:val="0"/>
          <w:sz w:val="21"/>
          <w:szCs w:val="21"/>
          <w:lang w:bidi="ar"/>
        </w:rPr>
        <w:t>按照</w:t>
      </w:r>
      <w:r>
        <w:rPr>
          <w:rFonts w:cs="宋体" w:asciiTheme="minorEastAsia" w:hAnsiTheme="minorEastAsia"/>
          <w:kern w:val="0"/>
          <w:sz w:val="21"/>
          <w:szCs w:val="21"/>
          <w:lang w:bidi="ar"/>
        </w:rPr>
        <w:t>以下</w:t>
      </w:r>
      <w:r>
        <w:rPr>
          <w:rFonts w:cs="宋体" w:asciiTheme="minorEastAsia" w:hAnsiTheme="minorEastAsia"/>
          <w:color w:val="000000"/>
          <w:kern w:val="0"/>
          <w:sz w:val="21"/>
          <w:szCs w:val="21"/>
          <w:lang w:bidi="ar"/>
        </w:rPr>
        <w:t>步骤进行数据分级</w:t>
      </w:r>
      <w:r>
        <w:rPr>
          <w:rFonts w:hint="eastAsia" w:cs="宋体" w:asciiTheme="minorEastAsia" w:hAnsiTheme="minorEastAsia"/>
          <w:color w:val="000000"/>
          <w:kern w:val="0"/>
          <w:sz w:val="21"/>
          <w:szCs w:val="21"/>
          <w:lang w:eastAsia="zh-CN" w:bidi="ar"/>
        </w:rPr>
        <w:t>：</w:t>
      </w:r>
    </w:p>
    <w:p>
      <w:pPr>
        <w:pStyle w:val="57"/>
        <w:numPr>
          <w:ilvl w:val="0"/>
          <w:numId w:val="16"/>
        </w:numPr>
        <w:ind w:left="840" w:leftChars="200" w:hanging="420" w:hangingChars="200"/>
        <w:rPr>
          <w:rFonts w:cs="宋体" w:asciiTheme="minorEastAsia" w:hAnsiTheme="minorEastAsia"/>
          <w:color w:val="000000"/>
          <w:szCs w:val="21"/>
          <w:lang w:bidi="ar"/>
        </w:rPr>
      </w:pPr>
      <w:r>
        <w:rPr>
          <w:rFonts w:cs="宋体" w:asciiTheme="minorEastAsia" w:hAnsiTheme="minorEastAsia"/>
          <w:color w:val="000000"/>
          <w:szCs w:val="21"/>
          <w:lang w:bidi="ar"/>
        </w:rPr>
        <w:t>确定分级对象：确定待分级的数据，如数据项、数据集、衍生数据、跨行业领域数据等</w:t>
      </w:r>
      <w:r>
        <w:rPr>
          <w:rFonts w:hint="eastAsia" w:cs="宋体" w:asciiTheme="minorEastAsia" w:hAnsiTheme="minorEastAsia"/>
          <w:color w:val="000000"/>
          <w:szCs w:val="21"/>
          <w:lang w:eastAsia="zh-CN" w:bidi="ar"/>
        </w:rPr>
        <w:t>；</w:t>
      </w:r>
    </w:p>
    <w:p>
      <w:pPr>
        <w:keepNext w:val="0"/>
        <w:keepLines w:val="0"/>
        <w:pageBreakBefore w:val="0"/>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autoSpaceDN/>
        <w:bidi w:val="0"/>
        <w:adjustRightInd w:val="0"/>
        <w:snapToGrid/>
        <w:ind w:left="906" w:leftChars="200" w:hanging="486" w:hangingChars="270"/>
        <w:jc w:val="left"/>
        <w:textAlignment w:val="auto"/>
        <w:rPr>
          <w:rFonts w:ascii="Helvetica" w:hAnsi="Helvetica" w:eastAsia="宋体" w:cs="Helvetica"/>
          <w:color w:val="000000"/>
          <w:kern w:val="0"/>
          <w:sz w:val="18"/>
          <w:szCs w:val="18"/>
        </w:rPr>
      </w:pPr>
      <w:r>
        <w:rPr>
          <w:rFonts w:hint="eastAsia" w:ascii="黑体" w:hAnsi="黑体" w:eastAsia="黑体" w:cs="黑体"/>
          <w:color w:val="000000"/>
          <w:kern w:val="0"/>
          <w:sz w:val="18"/>
          <w:szCs w:val="18"/>
        </w:rPr>
        <w:t>注1</w:t>
      </w:r>
      <w:r>
        <w:rPr>
          <w:rFonts w:hint="eastAsia" w:ascii="黑体" w:hAnsi="黑体" w:eastAsia="黑体" w:cs="黑体"/>
          <w:color w:val="000000"/>
          <w:kern w:val="0"/>
          <w:sz w:val="18"/>
          <w:szCs w:val="18"/>
          <w:lang w:eastAsia="zh-CN"/>
        </w:rPr>
        <w:t>：</w:t>
      </w:r>
      <w:r>
        <w:rPr>
          <w:rFonts w:ascii="Helvetica" w:hAnsi="Helvetica" w:eastAsia="宋体" w:cs="Helvetica"/>
          <w:color w:val="000000"/>
          <w:kern w:val="0"/>
          <w:sz w:val="18"/>
          <w:szCs w:val="18"/>
        </w:rPr>
        <w:t>数据项通常表现为数据库表某一列字段等。数据集是由多个数据记录组成的集合，如数据库表、数据库一行或多行记录集合、数据文件等。</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ind w:left="870" w:leftChars="200" w:hanging="450" w:hangingChars="250"/>
        <w:jc w:val="left"/>
        <w:rPr>
          <w:rFonts w:ascii="Helvetica" w:hAnsi="Helvetica" w:eastAsia="宋体" w:cs="Helvetica"/>
          <w:color w:val="000000"/>
          <w:kern w:val="0"/>
          <w:sz w:val="18"/>
          <w:szCs w:val="18"/>
        </w:rPr>
      </w:pPr>
      <w:r>
        <w:rPr>
          <w:rFonts w:hint="eastAsia" w:ascii="黑体" w:hAnsi="黑体" w:eastAsia="黑体" w:cs="黑体"/>
          <w:color w:val="000000"/>
          <w:kern w:val="0"/>
          <w:sz w:val="18"/>
          <w:szCs w:val="18"/>
        </w:rPr>
        <w:t>注2</w:t>
      </w:r>
      <w:r>
        <w:rPr>
          <w:rFonts w:hint="eastAsia" w:ascii="黑体" w:hAnsi="黑体" w:eastAsia="黑体" w:cs="黑体"/>
          <w:color w:val="000000"/>
          <w:kern w:val="0"/>
          <w:sz w:val="18"/>
          <w:szCs w:val="18"/>
          <w:lang w:eastAsia="zh-CN"/>
        </w:rPr>
        <w:t>：</w:t>
      </w:r>
      <w:r>
        <w:rPr>
          <w:rFonts w:hint="eastAsia" w:ascii="宋体" w:hAnsi="宋体" w:eastAsia="宋体" w:cs="宋体"/>
          <w:color w:val="000000"/>
          <w:kern w:val="0"/>
          <w:sz w:val="18"/>
          <w:szCs w:val="18"/>
        </w:rPr>
        <w:t>跨行业领域数据是医疗领域与其他行业领域的数据融合加工产生的数据。</w:t>
      </w:r>
    </w:p>
    <w:p>
      <w:pPr>
        <w:pStyle w:val="57"/>
        <w:numPr>
          <w:ilvl w:val="0"/>
          <w:numId w:val="16"/>
        </w:numPr>
        <w:ind w:left="840" w:leftChars="200" w:hanging="420" w:hangingChars="200"/>
        <w:rPr>
          <w:rFonts w:cs="宋体" w:asciiTheme="minorEastAsia" w:hAnsiTheme="minorEastAsia"/>
          <w:szCs w:val="21"/>
          <w:lang w:bidi="ar"/>
        </w:rPr>
      </w:pPr>
      <w:r>
        <w:rPr>
          <w:rFonts w:cs="宋体" w:asciiTheme="minorEastAsia" w:hAnsiTheme="minorEastAsia"/>
          <w:color w:val="000000"/>
          <w:szCs w:val="21"/>
          <w:lang w:bidi="ar"/>
        </w:rPr>
        <w:t>分级要素识别：结合自身数据特点</w:t>
      </w:r>
      <w:r>
        <w:rPr>
          <w:rFonts w:hint="eastAsia" w:cs="宋体" w:asciiTheme="minorEastAsia" w:hAnsiTheme="minorEastAsia"/>
          <w:color w:val="000000"/>
          <w:szCs w:val="21"/>
          <w:lang w:bidi="ar"/>
        </w:rPr>
        <w:t>，医疗机构应对不同类别的数据，开展数据所属领域、数据描述</w:t>
      </w:r>
      <w:r>
        <w:rPr>
          <w:rFonts w:hint="eastAsia" w:cs="宋体" w:asciiTheme="minorEastAsia" w:hAnsiTheme="minorEastAsia"/>
          <w:szCs w:val="21"/>
          <w:lang w:bidi="ar"/>
        </w:rPr>
        <w:t>群体、数据描述区域、数据重要性</w:t>
      </w:r>
      <w:r>
        <w:rPr>
          <w:rFonts w:cs="宋体" w:asciiTheme="minorEastAsia" w:hAnsiTheme="minorEastAsia"/>
          <w:szCs w:val="21"/>
          <w:lang w:bidi="ar"/>
        </w:rPr>
        <w:t>、</w:t>
      </w:r>
      <w:r>
        <w:rPr>
          <w:rFonts w:hint="eastAsia" w:cs="宋体" w:asciiTheme="minorEastAsia" w:hAnsiTheme="minorEastAsia"/>
          <w:szCs w:val="21"/>
          <w:lang w:bidi="ar"/>
        </w:rPr>
        <w:t>数据</w:t>
      </w:r>
      <w:r>
        <w:rPr>
          <w:rFonts w:cs="宋体" w:asciiTheme="minorEastAsia" w:hAnsiTheme="minorEastAsia"/>
          <w:szCs w:val="21"/>
          <w:lang w:bidi="ar"/>
        </w:rPr>
        <w:t>规模</w:t>
      </w:r>
      <w:r>
        <w:rPr>
          <w:rFonts w:hint="eastAsia" w:cs="宋体" w:asciiTheme="minorEastAsia" w:hAnsiTheme="minorEastAsia"/>
          <w:szCs w:val="21"/>
          <w:lang w:bidi="ar"/>
        </w:rPr>
        <w:t>、数据覆盖度、数据深度等数据分级要素的梳理</w:t>
      </w:r>
      <w:r>
        <w:rPr>
          <w:rFonts w:hint="eastAsia" w:cs="宋体" w:asciiTheme="minorEastAsia" w:hAnsiTheme="minorEastAsia"/>
          <w:szCs w:val="21"/>
          <w:lang w:eastAsia="zh-CN" w:bidi="ar"/>
        </w:rPr>
        <w:t>；</w:t>
      </w:r>
    </w:p>
    <w:p>
      <w:pPr>
        <w:pStyle w:val="57"/>
        <w:numPr>
          <w:ilvl w:val="0"/>
          <w:numId w:val="16"/>
        </w:numPr>
        <w:ind w:left="840" w:leftChars="200" w:hanging="420" w:hangingChars="200"/>
        <w:rPr>
          <w:rFonts w:cs="宋体" w:asciiTheme="minorEastAsia" w:hAnsiTheme="minorEastAsia"/>
          <w:color w:val="FF0000"/>
          <w:szCs w:val="21"/>
          <w:lang w:bidi="ar"/>
        </w:rPr>
      </w:pPr>
      <w:r>
        <w:rPr>
          <w:rFonts w:cs="宋体" w:asciiTheme="minorEastAsia" w:hAnsiTheme="minorEastAsia"/>
          <w:szCs w:val="21"/>
          <w:lang w:bidi="ar"/>
        </w:rPr>
        <w:t>数据影响</w:t>
      </w:r>
      <w:r>
        <w:rPr>
          <w:rFonts w:cs="宋体" w:asciiTheme="minorEastAsia" w:hAnsiTheme="minorEastAsia"/>
          <w:color w:val="000000"/>
          <w:szCs w:val="21"/>
          <w:lang w:bidi="ar"/>
        </w:rPr>
        <w:t>分析：</w:t>
      </w:r>
      <w:r>
        <w:rPr>
          <w:rFonts w:hint="eastAsia" w:cs="宋体" w:asciiTheme="minorEastAsia" w:hAnsiTheme="minorEastAsia"/>
          <w:color w:val="000000"/>
          <w:szCs w:val="21"/>
          <w:lang w:bidi="ar"/>
        </w:rPr>
        <w:t>医疗机构应评估不同类别</w:t>
      </w:r>
      <w:r>
        <w:rPr>
          <w:rFonts w:cs="宋体" w:asciiTheme="minorEastAsia" w:hAnsiTheme="minorEastAsia"/>
          <w:color w:val="000000"/>
          <w:szCs w:val="21"/>
          <w:lang w:bidi="ar"/>
        </w:rPr>
        <w:t>数据</w:t>
      </w:r>
      <w:r>
        <w:rPr>
          <w:rFonts w:hint="eastAsia" w:cs="宋体" w:asciiTheme="minorEastAsia" w:hAnsiTheme="minorEastAsia"/>
          <w:color w:val="000000"/>
          <w:szCs w:val="21"/>
          <w:lang w:bidi="ar"/>
        </w:rPr>
        <w:t>，一旦</w:t>
      </w:r>
      <w:r>
        <w:rPr>
          <w:rFonts w:cs="宋体" w:asciiTheme="minorEastAsia" w:hAnsiTheme="minorEastAsia"/>
          <w:color w:val="000000"/>
          <w:szCs w:val="21"/>
          <w:lang w:bidi="ar"/>
        </w:rPr>
        <w:t>遭到泄露、篡改、</w:t>
      </w:r>
      <w:r>
        <w:rPr>
          <w:rFonts w:hint="eastAsia" w:cs="宋体" w:asciiTheme="minorEastAsia" w:hAnsiTheme="minorEastAsia"/>
          <w:color w:val="000000"/>
          <w:szCs w:val="21"/>
          <w:lang w:bidi="ar"/>
        </w:rPr>
        <w:t>损毁、</w:t>
      </w:r>
      <w:r>
        <w:rPr>
          <w:rFonts w:cs="宋体" w:asciiTheme="minorEastAsia" w:hAnsiTheme="minorEastAsia"/>
          <w:color w:val="000000"/>
          <w:szCs w:val="21"/>
          <w:lang w:bidi="ar"/>
        </w:rPr>
        <w:t>非法获取、非法使用、非法共享</w:t>
      </w:r>
      <w:r>
        <w:rPr>
          <w:rFonts w:hint="eastAsia" w:cs="宋体" w:asciiTheme="minorEastAsia" w:hAnsiTheme="minorEastAsia"/>
          <w:color w:val="000000"/>
          <w:szCs w:val="21"/>
          <w:lang w:bidi="ar"/>
        </w:rPr>
        <w:t>后对国家安全、经济运行、社会秩序、组织、个人权益的影响，并将影响程度划分为特别严重危害、严重危害、一般危害三层</w:t>
      </w:r>
      <w:r>
        <w:rPr>
          <w:rFonts w:cs="宋体" w:asciiTheme="minorEastAsia" w:hAnsiTheme="minorEastAsia"/>
          <w:color w:val="000000"/>
          <w:szCs w:val="21"/>
          <w:lang w:bidi="ar"/>
        </w:rPr>
        <w:t>。</w:t>
      </w:r>
      <w:r>
        <w:rPr>
          <w:rFonts w:hint="eastAsia" w:cs="宋体" w:asciiTheme="minorEastAsia" w:hAnsiTheme="minorEastAsia"/>
          <w:color w:val="000000"/>
          <w:szCs w:val="21"/>
          <w:lang w:bidi="ar"/>
        </w:rPr>
        <w:t>影响对象、程度与数据级别的关系见表1</w:t>
      </w:r>
      <w:r>
        <w:rPr>
          <w:rFonts w:hint="eastAsia" w:cs="宋体" w:asciiTheme="minorEastAsia" w:hAnsiTheme="minorEastAsia"/>
          <w:color w:val="000000"/>
          <w:szCs w:val="21"/>
          <w:lang w:eastAsia="zh-CN" w:bidi="ar"/>
        </w:rPr>
        <w:t>；</w:t>
      </w:r>
    </w:p>
    <w:p>
      <w:pPr>
        <w:pStyle w:val="57"/>
        <w:numPr>
          <w:ilvl w:val="0"/>
          <w:numId w:val="16"/>
        </w:numPr>
        <w:ind w:left="840" w:leftChars="200" w:hanging="420" w:hangingChars="200"/>
        <w:rPr>
          <w:rFonts w:cs="宋体" w:asciiTheme="minorEastAsia" w:hAnsiTheme="minorEastAsia"/>
          <w:color w:val="FF0000"/>
          <w:szCs w:val="21"/>
          <w:lang w:bidi="ar"/>
        </w:rPr>
      </w:pPr>
      <w:r>
        <w:rPr>
          <w:rFonts w:cs="宋体" w:asciiTheme="minorEastAsia" w:hAnsiTheme="minorEastAsia"/>
          <w:color w:val="000000"/>
          <w:szCs w:val="21"/>
          <w:lang w:bidi="ar"/>
        </w:rPr>
        <w:t>综合确定</w:t>
      </w:r>
      <w:r>
        <w:rPr>
          <w:rFonts w:cs="宋体" w:asciiTheme="minorEastAsia" w:hAnsiTheme="minorEastAsia"/>
          <w:szCs w:val="21"/>
          <w:lang w:bidi="ar"/>
        </w:rPr>
        <w:t>级别：</w:t>
      </w:r>
      <w:r>
        <w:rPr>
          <w:rFonts w:hint="eastAsia" w:cs="宋体" w:asciiTheme="minorEastAsia" w:hAnsiTheme="minorEastAsia"/>
          <w:szCs w:val="21"/>
          <w:lang w:bidi="ar"/>
        </w:rPr>
        <w:t>按照6</w:t>
      </w:r>
      <w:r>
        <w:rPr>
          <w:rFonts w:cs="宋体" w:asciiTheme="minorEastAsia" w:hAnsiTheme="minorEastAsia"/>
          <w:szCs w:val="21"/>
          <w:lang w:bidi="ar"/>
        </w:rPr>
        <w:t>.3</w:t>
      </w:r>
      <w:r>
        <w:rPr>
          <w:rFonts w:hint="eastAsia" w:cs="宋体" w:asciiTheme="minorEastAsia" w:hAnsiTheme="minorEastAsia"/>
          <w:szCs w:val="21"/>
          <w:lang w:bidi="ar"/>
        </w:rPr>
        <w:t>，结合数据分类分级原则，综</w:t>
      </w:r>
      <w:r>
        <w:rPr>
          <w:rFonts w:cs="宋体" w:asciiTheme="minorEastAsia" w:hAnsiTheme="minorEastAsia"/>
          <w:szCs w:val="21"/>
          <w:lang w:bidi="ar"/>
        </w:rPr>
        <w:t>合确</w:t>
      </w:r>
      <w:r>
        <w:rPr>
          <w:rFonts w:cs="宋体" w:asciiTheme="minorEastAsia" w:hAnsiTheme="minorEastAsia"/>
          <w:color w:val="000000"/>
          <w:szCs w:val="21"/>
          <w:lang w:bidi="ar"/>
        </w:rPr>
        <w:t>定数据级别。</w:t>
      </w:r>
    </w:p>
    <w:p>
      <w:pPr>
        <w:pStyle w:val="57"/>
        <w:numPr>
          <w:ilvl w:val="0"/>
          <w:numId w:val="0"/>
        </w:numPr>
        <w:rPr>
          <w:rFonts w:cs="宋体" w:asciiTheme="minorEastAsia" w:hAnsiTheme="minorEastAsia"/>
          <w:color w:val="FF0000"/>
          <w:szCs w:val="21"/>
          <w:lang w:bidi="ar"/>
        </w:rPr>
      </w:pPr>
    </w:p>
    <w:p>
      <w:pPr>
        <w:pStyle w:val="57"/>
        <w:numPr>
          <w:ilvl w:val="0"/>
          <w:numId w:val="0"/>
        </w:numPr>
        <w:rPr>
          <w:rFonts w:hint="eastAsia" w:cs="宋体" w:asciiTheme="minorEastAsia" w:hAnsiTheme="minorEastAsia"/>
          <w:color w:val="000000"/>
          <w:szCs w:val="21"/>
          <w:lang w:bidi="ar"/>
        </w:rPr>
      </w:pPr>
    </w:p>
    <w:p>
      <w:pPr>
        <w:widowControl/>
        <w:spacing w:line="360" w:lineRule="auto"/>
        <w:ind w:firstLine="0"/>
        <w:jc w:val="center"/>
        <w:rPr>
          <w:rFonts w:ascii="黑体" w:hAnsi="黑体" w:eastAsia="黑体" w:cs="宋体"/>
          <w:color w:val="000000"/>
          <w:kern w:val="0"/>
          <w:szCs w:val="21"/>
          <w:lang w:bidi="ar"/>
        </w:rPr>
      </w:pPr>
      <w:r>
        <w:rPr>
          <w:rFonts w:hint="eastAsia" w:ascii="黑体" w:hAnsi="黑体" w:eastAsia="黑体" w:cs="宋体"/>
          <w:color w:val="000000"/>
          <w:kern w:val="0"/>
          <w:sz w:val="21"/>
          <w:szCs w:val="21"/>
          <w:lang w:bidi="ar"/>
        </w:rPr>
        <w:t>表1</w:t>
      </w:r>
      <w:r>
        <w:rPr>
          <w:rFonts w:ascii="黑体" w:hAnsi="黑体" w:eastAsia="黑体" w:cs="宋体"/>
          <w:color w:val="000000"/>
          <w:kern w:val="0"/>
          <w:sz w:val="21"/>
          <w:szCs w:val="21"/>
          <w:lang w:bidi="ar"/>
        </w:rPr>
        <w:t xml:space="preserve"> </w:t>
      </w:r>
      <w:r>
        <w:rPr>
          <w:rFonts w:hint="eastAsia" w:ascii="黑体" w:hAnsi="黑体" w:eastAsia="黑体" w:cs="宋体"/>
          <w:color w:val="000000"/>
          <w:kern w:val="0"/>
          <w:sz w:val="21"/>
          <w:szCs w:val="21"/>
          <w:lang w:val="en-US" w:eastAsia="zh-CN" w:bidi="ar"/>
        </w:rPr>
        <w:t xml:space="preserve"> </w:t>
      </w:r>
      <w:r>
        <w:rPr>
          <w:rFonts w:hint="eastAsia" w:ascii="黑体" w:hAnsi="黑体" w:eastAsia="黑体" w:cs="宋体"/>
          <w:color w:val="000000"/>
          <w:kern w:val="0"/>
          <w:sz w:val="21"/>
          <w:szCs w:val="21"/>
          <w:lang w:bidi="ar"/>
        </w:rPr>
        <w:t>数据级别规则参考表</w:t>
      </w:r>
    </w:p>
    <w:tbl>
      <w:tblPr>
        <w:tblStyle w:val="22"/>
        <w:tblW w:w="8504"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889"/>
        <w:gridCol w:w="2165"/>
        <w:gridCol w:w="2285"/>
        <w:gridCol w:w="216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122" w:type="dxa"/>
            <w:vMerge w:val="restart"/>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影响对象</w:t>
            </w:r>
          </w:p>
        </w:tc>
        <w:tc>
          <w:tcPr>
            <w:tcW w:w="7371" w:type="dxa"/>
            <w:gridSpan w:val="3"/>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影响程度</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122" w:type="dxa"/>
            <w:vMerge w:val="continue"/>
            <w:tcBorders>
              <w:bottom w:val="single" w:color="auto" w:sz="8" w:space="0"/>
            </w:tcBorders>
            <w:shd w:val="clear" w:color="auto" w:fill="auto"/>
            <w:vAlign w:val="center"/>
          </w:tcPr>
          <w:p>
            <w:pPr>
              <w:widowControl/>
              <w:spacing w:line="240" w:lineRule="auto"/>
              <w:ind w:firstLine="0"/>
              <w:jc w:val="center"/>
              <w:rPr>
                <w:rFonts w:asciiTheme="minorHAnsi" w:hAnsiTheme="minorHAnsi" w:eastAsiaTheme="minorEastAsia" w:cstheme="minorBidi"/>
                <w:color w:val="auto"/>
                <w:kern w:val="2"/>
                <w:sz w:val="18"/>
                <w:szCs w:val="18"/>
                <w:lang w:bidi="ar"/>
              </w:rPr>
            </w:pPr>
          </w:p>
        </w:tc>
        <w:tc>
          <w:tcPr>
            <w:tcW w:w="2409"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color w:val="auto"/>
                <w:kern w:val="2"/>
                <w:sz w:val="18"/>
                <w:szCs w:val="18"/>
                <w:lang w:bidi="ar"/>
              </w:rPr>
            </w:pPr>
            <w:r>
              <w:rPr>
                <w:rFonts w:hint="default" w:asciiTheme="minorHAnsi" w:hAnsiTheme="minorHAnsi" w:eastAsiaTheme="minorEastAsia" w:cstheme="minorBidi"/>
                <w:color w:val="auto"/>
                <w:kern w:val="2"/>
                <w:sz w:val="18"/>
                <w:szCs w:val="18"/>
                <w:lang w:bidi="ar"/>
              </w:rPr>
              <w:t>特别严重危害</w:t>
            </w:r>
          </w:p>
        </w:tc>
        <w:tc>
          <w:tcPr>
            <w:tcW w:w="2552"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color w:val="auto"/>
                <w:kern w:val="2"/>
                <w:sz w:val="18"/>
                <w:szCs w:val="18"/>
                <w:lang w:bidi="ar"/>
              </w:rPr>
            </w:pPr>
            <w:r>
              <w:rPr>
                <w:rFonts w:hint="default" w:asciiTheme="minorHAnsi" w:hAnsiTheme="minorHAnsi" w:eastAsiaTheme="minorEastAsia" w:cstheme="minorBidi"/>
                <w:color w:val="auto"/>
                <w:kern w:val="2"/>
                <w:sz w:val="18"/>
                <w:szCs w:val="18"/>
                <w:lang w:bidi="ar"/>
              </w:rPr>
              <w:t>严重危害</w:t>
            </w:r>
          </w:p>
        </w:tc>
        <w:tc>
          <w:tcPr>
            <w:tcW w:w="2410"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color w:val="auto"/>
                <w:kern w:val="2"/>
                <w:sz w:val="18"/>
                <w:szCs w:val="18"/>
                <w:lang w:bidi="ar"/>
              </w:rPr>
            </w:pPr>
            <w:r>
              <w:rPr>
                <w:rFonts w:hint="default" w:asciiTheme="minorHAnsi" w:hAnsiTheme="minorHAnsi" w:eastAsiaTheme="minorEastAsia" w:cstheme="minorBidi"/>
                <w:color w:val="auto"/>
                <w:kern w:val="2"/>
                <w:sz w:val="18"/>
                <w:szCs w:val="18"/>
                <w:lang w:bidi="ar"/>
              </w:rPr>
              <w:t>一般危害</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122" w:type="dxa"/>
            <w:tcBorders>
              <w:top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国家安全</w:t>
            </w:r>
          </w:p>
        </w:tc>
        <w:tc>
          <w:tcPr>
            <w:tcW w:w="2409" w:type="dxa"/>
            <w:tcBorders>
              <w:top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核心数据（L</w:t>
            </w:r>
            <w:r>
              <w:rPr>
                <w:rFonts w:asciiTheme="minorHAnsi" w:hAnsiTheme="minorHAnsi" w:eastAsiaTheme="minorEastAsia" w:cstheme="minorBidi"/>
                <w:kern w:val="2"/>
                <w:sz w:val="18"/>
                <w:szCs w:val="18"/>
                <w:lang w:bidi="ar"/>
              </w:rPr>
              <w:t>5</w:t>
            </w:r>
            <w:r>
              <w:rPr>
                <w:rFonts w:hint="default" w:asciiTheme="minorHAnsi" w:hAnsiTheme="minorHAnsi" w:eastAsiaTheme="minorEastAsia" w:cstheme="minorBidi"/>
                <w:kern w:val="2"/>
                <w:sz w:val="18"/>
                <w:szCs w:val="18"/>
                <w:lang w:bidi="ar"/>
              </w:rPr>
              <w:t>）</w:t>
            </w:r>
          </w:p>
        </w:tc>
        <w:tc>
          <w:tcPr>
            <w:tcW w:w="2552" w:type="dxa"/>
            <w:tcBorders>
              <w:top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核心数据（L</w:t>
            </w:r>
            <w:r>
              <w:rPr>
                <w:rFonts w:asciiTheme="minorHAnsi" w:hAnsiTheme="minorHAnsi" w:eastAsiaTheme="minorEastAsia" w:cstheme="minorBidi"/>
                <w:kern w:val="2"/>
                <w:sz w:val="18"/>
                <w:szCs w:val="18"/>
                <w:lang w:bidi="ar"/>
              </w:rPr>
              <w:t>5</w:t>
            </w:r>
            <w:r>
              <w:rPr>
                <w:rFonts w:hint="default" w:asciiTheme="minorHAnsi" w:hAnsiTheme="minorHAnsi" w:eastAsiaTheme="minorEastAsia" w:cstheme="minorBidi"/>
                <w:kern w:val="2"/>
                <w:sz w:val="18"/>
                <w:szCs w:val="18"/>
                <w:lang w:bidi="ar"/>
              </w:rPr>
              <w:t>）</w:t>
            </w:r>
          </w:p>
        </w:tc>
        <w:tc>
          <w:tcPr>
            <w:tcW w:w="2410" w:type="dxa"/>
            <w:tcBorders>
              <w:top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重要数据（L</w:t>
            </w:r>
            <w:r>
              <w:rPr>
                <w:rFonts w:asciiTheme="minorHAnsi" w:hAnsiTheme="minorHAnsi" w:eastAsiaTheme="minorEastAsia" w:cstheme="minorBidi"/>
                <w:kern w:val="2"/>
                <w:sz w:val="18"/>
                <w:szCs w:val="18"/>
                <w:lang w:bidi="ar"/>
              </w:rPr>
              <w:t>4</w:t>
            </w:r>
            <w:r>
              <w:rPr>
                <w:rFonts w:hint="default" w:asciiTheme="minorHAnsi" w:hAnsiTheme="minorHAnsi" w:eastAsiaTheme="minorEastAsia" w:cstheme="minorBidi"/>
                <w:kern w:val="2"/>
                <w:sz w:val="18"/>
                <w:szCs w:val="18"/>
                <w:lang w:bidi="ar"/>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122"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经济运行</w:t>
            </w:r>
          </w:p>
        </w:tc>
        <w:tc>
          <w:tcPr>
            <w:tcW w:w="2409"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核心数据（L</w:t>
            </w:r>
            <w:r>
              <w:rPr>
                <w:rFonts w:asciiTheme="minorHAnsi" w:hAnsiTheme="minorHAnsi" w:eastAsiaTheme="minorEastAsia" w:cstheme="minorBidi"/>
                <w:kern w:val="2"/>
                <w:sz w:val="18"/>
                <w:szCs w:val="18"/>
                <w:lang w:bidi="ar"/>
              </w:rPr>
              <w:t>5</w:t>
            </w:r>
            <w:r>
              <w:rPr>
                <w:rFonts w:hint="default" w:asciiTheme="minorHAnsi" w:hAnsiTheme="minorHAnsi" w:eastAsiaTheme="minorEastAsia" w:cstheme="minorBidi"/>
                <w:kern w:val="2"/>
                <w:sz w:val="18"/>
                <w:szCs w:val="18"/>
                <w:lang w:bidi="ar"/>
              </w:rPr>
              <w:t>）</w:t>
            </w:r>
          </w:p>
        </w:tc>
        <w:tc>
          <w:tcPr>
            <w:tcW w:w="2552"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重要数据（L</w:t>
            </w:r>
            <w:r>
              <w:rPr>
                <w:rFonts w:asciiTheme="minorHAnsi" w:hAnsiTheme="minorHAnsi" w:eastAsiaTheme="minorEastAsia" w:cstheme="minorBidi"/>
                <w:kern w:val="2"/>
                <w:sz w:val="18"/>
                <w:szCs w:val="18"/>
                <w:lang w:bidi="ar"/>
              </w:rPr>
              <w:t>4</w:t>
            </w:r>
            <w:r>
              <w:rPr>
                <w:rFonts w:hint="default" w:asciiTheme="minorHAnsi" w:hAnsiTheme="minorHAnsi" w:eastAsiaTheme="minorEastAsia" w:cstheme="minorBidi"/>
                <w:kern w:val="2"/>
                <w:sz w:val="18"/>
                <w:szCs w:val="18"/>
                <w:lang w:bidi="ar"/>
              </w:rPr>
              <w:t>）</w:t>
            </w:r>
          </w:p>
        </w:tc>
        <w:tc>
          <w:tcPr>
            <w:tcW w:w="2410"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一般数据（L</w:t>
            </w:r>
            <w:r>
              <w:rPr>
                <w:rFonts w:asciiTheme="minorHAnsi" w:hAnsiTheme="minorHAnsi" w:eastAsiaTheme="minorEastAsia" w:cstheme="minorBidi"/>
                <w:kern w:val="2"/>
                <w:sz w:val="18"/>
                <w:szCs w:val="18"/>
                <w:lang w:bidi="ar"/>
              </w:rPr>
              <w:t>3</w:t>
            </w:r>
            <w:r>
              <w:rPr>
                <w:rFonts w:hint="default" w:asciiTheme="minorHAnsi" w:hAnsiTheme="minorHAnsi" w:eastAsiaTheme="minorEastAsia" w:cstheme="minorBidi"/>
                <w:kern w:val="2"/>
                <w:sz w:val="18"/>
                <w:szCs w:val="18"/>
                <w:lang w:bidi="ar"/>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122"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社会秩序</w:t>
            </w:r>
          </w:p>
        </w:tc>
        <w:tc>
          <w:tcPr>
            <w:tcW w:w="2409"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核心数据（L</w:t>
            </w:r>
            <w:r>
              <w:rPr>
                <w:rFonts w:asciiTheme="minorHAnsi" w:hAnsiTheme="minorHAnsi" w:eastAsiaTheme="minorEastAsia" w:cstheme="minorBidi"/>
                <w:kern w:val="2"/>
                <w:sz w:val="18"/>
                <w:szCs w:val="18"/>
                <w:lang w:bidi="ar"/>
              </w:rPr>
              <w:t>5</w:t>
            </w:r>
            <w:r>
              <w:rPr>
                <w:rFonts w:hint="default" w:asciiTheme="minorHAnsi" w:hAnsiTheme="minorHAnsi" w:eastAsiaTheme="minorEastAsia" w:cstheme="minorBidi"/>
                <w:kern w:val="2"/>
                <w:sz w:val="18"/>
                <w:szCs w:val="18"/>
                <w:lang w:bidi="ar"/>
              </w:rPr>
              <w:t>）</w:t>
            </w:r>
          </w:p>
        </w:tc>
        <w:tc>
          <w:tcPr>
            <w:tcW w:w="2552"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重要数据（L</w:t>
            </w:r>
            <w:r>
              <w:rPr>
                <w:rFonts w:asciiTheme="minorHAnsi" w:hAnsiTheme="minorHAnsi" w:eastAsiaTheme="minorEastAsia" w:cstheme="minorBidi"/>
                <w:kern w:val="2"/>
                <w:sz w:val="18"/>
                <w:szCs w:val="18"/>
                <w:lang w:bidi="ar"/>
              </w:rPr>
              <w:t>4</w:t>
            </w:r>
            <w:r>
              <w:rPr>
                <w:rFonts w:hint="default" w:asciiTheme="minorHAnsi" w:hAnsiTheme="minorHAnsi" w:eastAsiaTheme="minorEastAsia" w:cstheme="minorBidi"/>
                <w:kern w:val="2"/>
                <w:sz w:val="18"/>
                <w:szCs w:val="18"/>
                <w:lang w:bidi="ar"/>
              </w:rPr>
              <w:t>）</w:t>
            </w:r>
          </w:p>
        </w:tc>
        <w:tc>
          <w:tcPr>
            <w:tcW w:w="2410"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一般数据（L</w:t>
            </w:r>
            <w:r>
              <w:rPr>
                <w:rFonts w:asciiTheme="minorHAnsi" w:hAnsiTheme="minorHAnsi" w:eastAsiaTheme="minorEastAsia" w:cstheme="minorBidi"/>
                <w:kern w:val="2"/>
                <w:sz w:val="18"/>
                <w:szCs w:val="18"/>
                <w:lang w:bidi="ar"/>
              </w:rPr>
              <w:t>3</w:t>
            </w:r>
            <w:r>
              <w:rPr>
                <w:rFonts w:hint="default" w:asciiTheme="minorHAnsi" w:hAnsiTheme="minorHAnsi" w:eastAsiaTheme="minorEastAsia" w:cstheme="minorBidi"/>
                <w:kern w:val="2"/>
                <w:sz w:val="18"/>
                <w:szCs w:val="18"/>
                <w:lang w:bidi="ar"/>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122"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公共利益</w:t>
            </w:r>
          </w:p>
        </w:tc>
        <w:tc>
          <w:tcPr>
            <w:tcW w:w="2409"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核心数据（L</w:t>
            </w:r>
            <w:r>
              <w:rPr>
                <w:rFonts w:asciiTheme="minorHAnsi" w:hAnsiTheme="minorHAnsi" w:eastAsiaTheme="minorEastAsia" w:cstheme="minorBidi"/>
                <w:kern w:val="2"/>
                <w:sz w:val="18"/>
                <w:szCs w:val="18"/>
                <w:lang w:bidi="ar"/>
              </w:rPr>
              <w:t>5</w:t>
            </w:r>
            <w:r>
              <w:rPr>
                <w:rFonts w:hint="default" w:asciiTheme="minorHAnsi" w:hAnsiTheme="minorHAnsi" w:eastAsiaTheme="minorEastAsia" w:cstheme="minorBidi"/>
                <w:kern w:val="2"/>
                <w:sz w:val="18"/>
                <w:szCs w:val="18"/>
                <w:lang w:bidi="ar"/>
              </w:rPr>
              <w:t>）</w:t>
            </w:r>
          </w:p>
        </w:tc>
        <w:tc>
          <w:tcPr>
            <w:tcW w:w="2552"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重要数据（L</w:t>
            </w:r>
            <w:r>
              <w:rPr>
                <w:rFonts w:asciiTheme="minorHAnsi" w:hAnsiTheme="minorHAnsi" w:eastAsiaTheme="minorEastAsia" w:cstheme="minorBidi"/>
                <w:kern w:val="2"/>
                <w:sz w:val="18"/>
                <w:szCs w:val="18"/>
                <w:lang w:bidi="ar"/>
              </w:rPr>
              <w:t>4</w:t>
            </w:r>
            <w:r>
              <w:rPr>
                <w:rFonts w:hint="default" w:asciiTheme="minorHAnsi" w:hAnsiTheme="minorHAnsi" w:eastAsiaTheme="minorEastAsia" w:cstheme="minorBidi"/>
                <w:kern w:val="2"/>
                <w:sz w:val="18"/>
                <w:szCs w:val="18"/>
                <w:lang w:bidi="ar"/>
              </w:rPr>
              <w:t>）</w:t>
            </w:r>
          </w:p>
        </w:tc>
        <w:tc>
          <w:tcPr>
            <w:tcW w:w="2410" w:type="dxa"/>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一般数据（L</w:t>
            </w:r>
            <w:r>
              <w:rPr>
                <w:rFonts w:asciiTheme="minorHAnsi" w:hAnsiTheme="minorHAnsi" w:eastAsiaTheme="minorEastAsia" w:cstheme="minorBidi"/>
                <w:kern w:val="2"/>
                <w:sz w:val="18"/>
                <w:szCs w:val="18"/>
                <w:lang w:bidi="ar"/>
              </w:rPr>
              <w:t>3</w:t>
            </w:r>
            <w:r>
              <w:rPr>
                <w:rFonts w:hint="default" w:asciiTheme="minorHAnsi" w:hAnsiTheme="minorHAnsi" w:eastAsiaTheme="minorEastAsia" w:cstheme="minorBidi"/>
                <w:kern w:val="2"/>
                <w:sz w:val="18"/>
                <w:szCs w:val="18"/>
                <w:lang w:bidi="ar"/>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122"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组织权益、个人权益</w:t>
            </w:r>
          </w:p>
        </w:tc>
        <w:tc>
          <w:tcPr>
            <w:tcW w:w="2409"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一般数据（L3）</w:t>
            </w:r>
          </w:p>
        </w:tc>
        <w:tc>
          <w:tcPr>
            <w:tcW w:w="2552"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一般数据（L2）</w:t>
            </w:r>
          </w:p>
        </w:tc>
        <w:tc>
          <w:tcPr>
            <w:tcW w:w="2410"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asciiTheme="minorHAnsi" w:hAnsiTheme="minorHAnsi" w:eastAsiaTheme="minorEastAsia" w:cstheme="minorBidi"/>
                <w:kern w:val="2"/>
                <w:sz w:val="18"/>
                <w:szCs w:val="18"/>
                <w:lang w:bidi="ar"/>
              </w:rPr>
            </w:pPr>
            <w:r>
              <w:rPr>
                <w:rFonts w:hint="default" w:asciiTheme="minorHAnsi" w:hAnsiTheme="minorHAnsi" w:eastAsiaTheme="minorEastAsia" w:cstheme="minorBidi"/>
                <w:kern w:val="2"/>
                <w:sz w:val="18"/>
                <w:szCs w:val="18"/>
                <w:lang w:bidi="ar"/>
              </w:rPr>
              <w:t>一般数据（L1）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493" w:type="dxa"/>
            <w:gridSpan w:val="4"/>
            <w:tcBorders>
              <w:top w:val="single" w:color="auto" w:sz="8" w:space="0"/>
            </w:tcBorders>
            <w:shd w:val="clear" w:color="auto" w:fill="auto"/>
            <w:tcMar>
              <w:top w:w="72" w:type="dxa"/>
              <w:left w:w="144" w:type="dxa"/>
              <w:bottom w:w="72" w:type="dxa"/>
              <w:right w:w="144" w:type="dxa"/>
            </w:tcMar>
            <w:vAlign w:val="center"/>
          </w:tcPr>
          <w:p>
            <w:pPr>
              <w:widowControl/>
              <w:spacing w:line="240" w:lineRule="auto"/>
              <w:ind w:left="780" w:leftChars="200" w:hanging="360" w:hangingChars="200"/>
              <w:jc w:val="both"/>
              <w:rPr>
                <w:rFonts w:asciiTheme="minorHAnsi" w:hAnsiTheme="minorHAnsi" w:eastAsiaTheme="minorEastAsia" w:cstheme="minorBidi"/>
                <w:kern w:val="2"/>
                <w:sz w:val="18"/>
                <w:szCs w:val="18"/>
                <w:lang w:bidi="ar"/>
              </w:rPr>
            </w:pPr>
            <w:r>
              <w:rPr>
                <w:rFonts w:hint="eastAsia" w:ascii="黑体" w:hAnsi="黑体" w:eastAsia="黑体" w:cs="黑体"/>
                <w:kern w:val="2"/>
                <w:sz w:val="18"/>
                <w:szCs w:val="18"/>
                <w:lang w:bidi="ar"/>
              </w:rPr>
              <w:t>注：</w:t>
            </w:r>
            <w:r>
              <w:rPr>
                <w:rFonts w:hint="default" w:asciiTheme="minorHAnsi" w:hAnsiTheme="minorHAnsi" w:eastAsiaTheme="minorEastAsia" w:cstheme="minorBidi"/>
                <w:kern w:val="2"/>
                <w:sz w:val="18"/>
                <w:szCs w:val="18"/>
                <w:lang w:bidi="ar"/>
              </w:rPr>
              <w:t>如果影响大规模的个人或组织权益，影响对象可能不只包括个人权益或组织权益，也可能对国家安全、经济运行、社会秩序或公共利益造成影响。</w:t>
            </w:r>
          </w:p>
        </w:tc>
      </w:tr>
    </w:tbl>
    <w:p>
      <w:pPr>
        <w:pStyle w:val="67"/>
        <w:rPr>
          <w:rFonts w:ascii="黑体" w:hAnsi="黑体" w:eastAsia="黑体"/>
          <w:b w:val="0"/>
          <w:sz w:val="21"/>
          <w:szCs w:val="21"/>
        </w:rPr>
      </w:pPr>
      <w:bookmarkStart w:id="97" w:name="_Toc28867"/>
      <w:bookmarkStart w:id="98" w:name="_Toc121832880"/>
      <w:bookmarkStart w:id="99" w:name="_Toc169775915"/>
      <w:r>
        <w:rPr>
          <w:rFonts w:hint="eastAsia" w:ascii="黑体" w:hAnsi="黑体" w:eastAsia="黑体"/>
          <w:b w:val="0"/>
          <w:sz w:val="21"/>
          <w:szCs w:val="21"/>
        </w:rPr>
        <w:t>分级要素</w:t>
      </w:r>
      <w:bookmarkEnd w:id="97"/>
      <w:bookmarkEnd w:id="98"/>
      <w:bookmarkEnd w:id="99"/>
    </w:p>
    <w:p>
      <w:pPr>
        <w:widowControl/>
        <w:ind w:firstLine="420" w:firstLineChars="200"/>
        <w:jc w:val="left"/>
        <w:rPr>
          <w:rFonts w:hint="eastAsia" w:eastAsia="宋体" w:cs="宋体" w:asciiTheme="minorEastAsia" w:hAnsiTheme="minorEastAsia"/>
          <w:color w:val="000000"/>
          <w:sz w:val="21"/>
          <w:szCs w:val="21"/>
          <w:lang w:bidi="ar"/>
        </w:rPr>
      </w:pPr>
      <w:r>
        <w:rPr>
          <w:rFonts w:hint="eastAsia" w:cs="宋体" w:asciiTheme="minorEastAsia" w:hAnsiTheme="minorEastAsia"/>
          <w:color w:val="000000"/>
          <w:kern w:val="0"/>
          <w:sz w:val="21"/>
          <w:szCs w:val="21"/>
          <w:lang w:bidi="ar"/>
        </w:rPr>
        <w:t>影响医疗机构数据分级的要素，包括医疗机构数据的群体、精度、规模、深度、覆盖度、重要性等。数据分级应充分识别以下数据分级要素情况</w:t>
      </w:r>
      <w:r>
        <w:rPr>
          <w:rFonts w:hint="eastAsia" w:cs="宋体" w:asciiTheme="minorEastAsia" w:hAnsiTheme="minorEastAsia"/>
          <w:color w:val="000000"/>
          <w:kern w:val="0"/>
          <w:sz w:val="21"/>
          <w:szCs w:val="21"/>
          <w:lang w:eastAsia="zh-CN" w:bidi="ar"/>
        </w:rPr>
        <w:t>：</w:t>
      </w:r>
    </w:p>
    <w:p>
      <w:pPr>
        <w:pStyle w:val="57"/>
        <w:numPr>
          <w:ilvl w:val="0"/>
          <w:numId w:val="17"/>
        </w:numPr>
        <w:ind w:left="840" w:leftChars="200" w:hanging="420" w:hangingChars="200"/>
        <w:rPr>
          <w:rFonts w:cs="宋体" w:asciiTheme="minorEastAsia" w:hAnsiTheme="minorEastAsia"/>
          <w:color w:val="000000"/>
          <w:szCs w:val="21"/>
          <w:lang w:bidi="ar"/>
        </w:rPr>
      </w:pPr>
      <w:r>
        <w:rPr>
          <w:rFonts w:eastAsia="宋体" w:cs="宋体" w:asciiTheme="minorEastAsia" w:hAnsiTheme="minorEastAsia"/>
          <w:color w:val="000000"/>
          <w:szCs w:val="21"/>
          <w:lang w:bidi="ar"/>
        </w:rPr>
        <w:t>在</w:t>
      </w:r>
      <w:r>
        <w:rPr>
          <w:rFonts w:cs="宋体" w:asciiTheme="minorEastAsia" w:hAnsiTheme="minorEastAsia"/>
          <w:color w:val="000000"/>
          <w:szCs w:val="21"/>
          <w:lang w:bidi="ar"/>
        </w:rPr>
        <w:t>分级要素识别、数据影响分析的基础上，</w:t>
      </w:r>
      <w:r>
        <w:rPr>
          <w:rFonts w:hint="eastAsia" w:cs="宋体" w:asciiTheme="minorEastAsia" w:hAnsiTheme="minorEastAsia"/>
          <w:color w:val="000000"/>
          <w:szCs w:val="21"/>
          <w:lang w:bidi="ar"/>
        </w:rPr>
        <w:t>应</w:t>
      </w:r>
      <w:r>
        <w:rPr>
          <w:rFonts w:cs="宋体" w:asciiTheme="minorEastAsia" w:hAnsiTheme="minorEastAsia"/>
          <w:color w:val="000000"/>
          <w:szCs w:val="21"/>
          <w:lang w:bidi="ar"/>
        </w:rPr>
        <w:t>按照以下规则</w:t>
      </w:r>
      <w:r>
        <w:rPr>
          <w:rFonts w:hint="eastAsia" w:cs="宋体" w:asciiTheme="minorEastAsia" w:hAnsiTheme="minorEastAsia"/>
          <w:color w:val="000000"/>
          <w:szCs w:val="21"/>
          <w:lang w:bidi="ar"/>
        </w:rPr>
        <w:t>对医疗机构</w:t>
      </w:r>
      <w:r>
        <w:rPr>
          <w:rFonts w:cs="宋体" w:asciiTheme="minorEastAsia" w:hAnsiTheme="minorEastAsia"/>
          <w:color w:val="000000"/>
          <w:szCs w:val="21"/>
          <w:lang w:bidi="ar"/>
        </w:rPr>
        <w:t>数据级别</w:t>
      </w:r>
      <w:r>
        <w:rPr>
          <w:rFonts w:hint="eastAsia" w:cs="宋体" w:asciiTheme="minorEastAsia" w:hAnsiTheme="minorEastAsia"/>
          <w:color w:val="000000"/>
          <w:szCs w:val="21"/>
          <w:lang w:bidi="ar"/>
        </w:rPr>
        <w:t>进行进一步确定和调整，</w:t>
      </w:r>
      <w:r>
        <w:rPr>
          <w:rFonts w:cs="宋体" w:asciiTheme="minorEastAsia" w:hAnsiTheme="minorEastAsia"/>
          <w:color w:val="000000"/>
          <w:szCs w:val="21"/>
          <w:lang w:bidi="ar"/>
        </w:rPr>
        <w:t>相关信息见表2</w:t>
      </w:r>
      <w:r>
        <w:rPr>
          <w:rFonts w:hint="eastAsia" w:cs="宋体" w:asciiTheme="minorEastAsia" w:hAnsiTheme="minorEastAsia"/>
          <w:color w:val="000000"/>
          <w:szCs w:val="21"/>
          <w:lang w:eastAsia="zh-CN" w:bidi="ar"/>
        </w:rPr>
        <w:t>；</w:t>
      </w:r>
    </w:p>
    <w:p>
      <w:pPr>
        <w:widowControl/>
        <w:spacing w:line="360" w:lineRule="auto"/>
        <w:ind w:firstLine="0"/>
        <w:jc w:val="center"/>
        <w:rPr>
          <w:rFonts w:hint="eastAsia" w:ascii="黑体" w:hAnsi="黑体" w:eastAsia="黑体" w:cs="宋体"/>
          <w:color w:val="000000"/>
          <w:kern w:val="0"/>
          <w:sz w:val="21"/>
          <w:szCs w:val="21"/>
          <w:lang w:bidi="ar"/>
        </w:rPr>
      </w:pPr>
      <w:r>
        <w:rPr>
          <w:rFonts w:hint="eastAsia" w:ascii="黑体" w:hAnsi="黑体" w:eastAsia="黑体" w:cs="宋体"/>
          <w:color w:val="000000"/>
          <w:kern w:val="0"/>
          <w:sz w:val="21"/>
          <w:szCs w:val="21"/>
          <w:lang w:bidi="ar"/>
        </w:rPr>
        <w:t>表2</w:t>
      </w:r>
      <w:r>
        <w:rPr>
          <w:rFonts w:hint="eastAsia" w:ascii="黑体" w:hAnsi="黑体" w:eastAsia="黑体" w:cs="宋体"/>
          <w:color w:val="000000"/>
          <w:kern w:val="0"/>
          <w:sz w:val="21"/>
          <w:szCs w:val="21"/>
          <w:lang w:val="en-US" w:eastAsia="zh-CN" w:bidi="ar"/>
        </w:rPr>
        <w:t xml:space="preserve"> </w:t>
      </w:r>
      <w:r>
        <w:rPr>
          <w:rFonts w:hint="eastAsia" w:ascii="黑体" w:hAnsi="黑体" w:eastAsia="黑体" w:cs="宋体"/>
          <w:color w:val="000000"/>
          <w:kern w:val="0"/>
          <w:sz w:val="21"/>
          <w:szCs w:val="21"/>
          <w:lang w:bidi="ar"/>
        </w:rPr>
        <w:t xml:space="preserve"> 数据级别确定表</w:t>
      </w:r>
    </w:p>
    <w:tbl>
      <w:tblPr>
        <w:tblStyle w:val="22"/>
        <w:tblW w:w="8504"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689"/>
        <w:gridCol w:w="3102"/>
        <w:gridCol w:w="471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49" w:hRule="atLeast"/>
          <w:tblHeader/>
          <w:jc w:val="center"/>
        </w:trPr>
        <w:tc>
          <w:tcPr>
            <w:tcW w:w="689" w:type="dxa"/>
            <w:tcBorders>
              <w:bottom w:val="single" w:color="auto" w:sz="8" w:space="0"/>
            </w:tcBorders>
            <w:shd w:val="clear" w:color="auto" w:fill="auto"/>
            <w:vAlign w:val="center"/>
          </w:tcPr>
          <w:p>
            <w:pPr>
              <w:widowControl/>
              <w:spacing w:line="240" w:lineRule="auto"/>
              <w:jc w:val="center"/>
              <w:rPr>
                <w:rFonts w:hint="default" w:ascii="宋体" w:hAnsi="宋体" w:cs="宋体" w:eastAsiaTheme="minorEastAsia"/>
                <w:kern w:val="2"/>
                <w:sz w:val="18"/>
                <w:szCs w:val="18"/>
                <w:lang w:bidi="ar"/>
              </w:rPr>
            </w:pPr>
            <w:r>
              <w:rPr>
                <w:rFonts w:hint="default" w:ascii="宋体" w:hAnsi="宋体" w:cs="宋体" w:eastAsiaTheme="minorEastAsia"/>
                <w:kern w:val="2"/>
                <w:sz w:val="18"/>
                <w:szCs w:val="18"/>
                <w:lang w:bidi="ar"/>
              </w:rPr>
              <w:t>级别</w:t>
            </w:r>
          </w:p>
        </w:tc>
        <w:tc>
          <w:tcPr>
            <w:tcW w:w="3102"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hint="default" w:ascii="宋体" w:hAnsi="宋体" w:cs="宋体" w:eastAsiaTheme="minorEastAsia"/>
                <w:kern w:val="2"/>
                <w:sz w:val="18"/>
                <w:szCs w:val="18"/>
                <w:lang w:bidi="ar"/>
              </w:rPr>
            </w:pPr>
            <w:r>
              <w:rPr>
                <w:rFonts w:hint="default" w:ascii="宋体" w:hAnsi="宋体" w:cs="宋体" w:eastAsiaTheme="minorEastAsia"/>
                <w:kern w:val="2"/>
                <w:sz w:val="18"/>
                <w:szCs w:val="18"/>
                <w:lang w:bidi="ar"/>
              </w:rPr>
              <w:t>定义</w:t>
            </w:r>
          </w:p>
        </w:tc>
        <w:tc>
          <w:tcPr>
            <w:tcW w:w="4713"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jc w:val="center"/>
              <w:rPr>
                <w:rFonts w:hint="default" w:ascii="宋体" w:hAnsi="宋体" w:cs="宋体" w:eastAsiaTheme="minorEastAsia"/>
                <w:kern w:val="2"/>
                <w:sz w:val="18"/>
                <w:szCs w:val="18"/>
                <w:lang w:bidi="ar"/>
              </w:rPr>
            </w:pPr>
            <w:r>
              <w:rPr>
                <w:rFonts w:hint="default" w:ascii="宋体" w:hAnsi="宋体" w:cs="宋体" w:eastAsiaTheme="minorEastAsia"/>
                <w:kern w:val="2"/>
                <w:sz w:val="18"/>
                <w:szCs w:val="18"/>
                <w:lang w:bidi="ar"/>
              </w:rPr>
              <w:t>识别规则</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9" w:type="dxa"/>
            <w:tcBorders>
              <w:top w:val="single" w:color="auto" w:sz="8" w:space="0"/>
            </w:tcBorders>
            <w:shd w:val="clear" w:color="auto" w:fill="auto"/>
            <w:tcMar>
              <w:top w:w="72" w:type="dxa"/>
              <w:left w:w="144" w:type="dxa"/>
              <w:bottom w:w="72" w:type="dxa"/>
              <w:right w:w="144" w:type="dxa"/>
            </w:tcMar>
            <w:vAlign w:val="center"/>
          </w:tcPr>
          <w:p>
            <w:pPr>
              <w:widowControl/>
              <w:spacing w:line="240" w:lineRule="auto"/>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L</w:t>
            </w:r>
            <w:r>
              <w:rPr>
                <w:rFonts w:ascii="宋体" w:hAnsi="宋体" w:eastAsia="宋体" w:cs="宋体"/>
                <w:color w:val="000000"/>
                <w:kern w:val="0"/>
                <w:sz w:val="18"/>
                <w:szCs w:val="18"/>
                <w:lang w:bidi="ar"/>
              </w:rPr>
              <w:t>5</w:t>
            </w:r>
          </w:p>
        </w:tc>
        <w:tc>
          <w:tcPr>
            <w:tcW w:w="3102" w:type="dxa"/>
            <w:tcBorders>
              <w:top w:val="single" w:color="auto" w:sz="8" w:space="0"/>
            </w:tcBorders>
            <w:shd w:val="clear" w:color="auto" w:fill="auto"/>
            <w:tcMar>
              <w:top w:w="72" w:type="dxa"/>
              <w:left w:w="144" w:type="dxa"/>
              <w:bottom w:w="72" w:type="dxa"/>
              <w:right w:w="144" w:type="dxa"/>
            </w:tcMar>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36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核心数据（L5）</w:t>
            </w:r>
          </w:p>
        </w:tc>
        <w:tc>
          <w:tcPr>
            <w:tcW w:w="4713" w:type="dxa"/>
            <w:tcBorders>
              <w:top w:val="single" w:color="auto" w:sz="8" w:space="0"/>
            </w:tcBorders>
            <w:shd w:val="clear" w:color="auto" w:fill="auto"/>
            <w:tcMar>
              <w:top w:w="72" w:type="dxa"/>
              <w:left w:w="144" w:type="dxa"/>
              <w:bottom w:w="72" w:type="dxa"/>
              <w:right w:w="144" w:type="dxa"/>
            </w:tcMar>
            <w:vAlign w:val="center"/>
          </w:tcPr>
          <w:p>
            <w:pPr>
              <w:widowControl/>
              <w:numPr>
                <w:ilvl w:val="0"/>
                <w:numId w:val="18"/>
              </w:numPr>
              <w:spacing w:line="300" w:lineRule="exact"/>
              <w:ind w:left="227" w:hanging="227"/>
              <w:jc w:val="left"/>
              <w:rPr>
                <w:rFonts w:ascii="宋体" w:hAnsi="宋体" w:eastAsia="宋体" w:cs="宋体"/>
                <w:color w:val="000000"/>
                <w:kern w:val="0"/>
                <w:sz w:val="18"/>
                <w:szCs w:val="18"/>
                <w:lang w:bidi="ar"/>
              </w:rPr>
            </w:pPr>
            <w:r>
              <w:rPr>
                <w:rFonts w:hint="eastAsia" w:ascii="宋体" w:hAnsi="宋体" w:eastAsia="宋体" w:cs="宋体"/>
                <w:kern w:val="2"/>
                <w:sz w:val="18"/>
                <w:szCs w:val="18"/>
                <w:lang w:bidi="ar"/>
              </w:rPr>
              <w:t>涉及1000万人以上个人信息或100万人以上敏感个人信息</w:t>
            </w:r>
            <w:r>
              <w:rPr>
                <w:rFonts w:hint="eastAsia" w:eastAsia="宋体" w:cs="宋体"/>
                <w:kern w:val="2"/>
                <w:sz w:val="18"/>
                <w:szCs w:val="18"/>
                <w:lang w:eastAsia="zh-CN" w:bidi="ar"/>
              </w:rPr>
              <w:t>；</w:t>
            </w:r>
          </w:p>
          <w:p>
            <w:pPr>
              <w:widowControl/>
              <w:numPr>
                <w:ilvl w:val="0"/>
                <w:numId w:val="18"/>
              </w:numPr>
              <w:spacing w:line="300" w:lineRule="exact"/>
              <w:ind w:left="227" w:hanging="227"/>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涉及1000万人以上经过计算加工生成的，对数据描述对象有较深刻画程度，且影响国家安全的衍生数据</w:t>
            </w:r>
            <w:r>
              <w:rPr>
                <w:rFonts w:hint="eastAsia" w:eastAsia="宋体" w:cs="宋体"/>
                <w:kern w:val="2"/>
                <w:sz w:val="18"/>
                <w:szCs w:val="18"/>
                <w:lang w:eastAsia="zh-CN" w:bidi="ar"/>
              </w:rPr>
              <w:t>；</w:t>
            </w:r>
          </w:p>
          <w:p>
            <w:pPr>
              <w:widowControl/>
              <w:numPr>
                <w:ilvl w:val="0"/>
                <w:numId w:val="18"/>
              </w:numPr>
              <w:spacing w:line="300" w:lineRule="exact"/>
              <w:ind w:left="227" w:hanging="227"/>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覆盖某一重要特定群体全部个体的健康数据，特定时期特定区域的群体健康数据</w:t>
            </w:r>
            <w:r>
              <w:rPr>
                <w:rFonts w:hint="eastAsia" w:eastAsia="宋体" w:cs="宋体"/>
                <w:kern w:val="2"/>
                <w:sz w:val="18"/>
                <w:szCs w:val="18"/>
                <w:lang w:eastAsia="zh-CN" w:bidi="ar"/>
              </w:rPr>
              <w:t>；</w:t>
            </w:r>
            <w:r>
              <w:rPr>
                <w:rFonts w:hint="eastAsia" w:ascii="宋体" w:hAnsi="宋体" w:eastAsia="宋体" w:cs="宋体"/>
                <w:kern w:val="2"/>
                <w:sz w:val="18"/>
                <w:szCs w:val="18"/>
                <w:lang w:bidi="ar"/>
              </w:rPr>
              <w:t xml:space="preserve"> </w:t>
            </w:r>
          </w:p>
          <w:p>
            <w:pPr>
              <w:widowControl/>
              <w:numPr>
                <w:ilvl w:val="0"/>
                <w:numId w:val="18"/>
              </w:numPr>
              <w:spacing w:line="300" w:lineRule="exact"/>
              <w:ind w:left="227" w:hanging="227"/>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涉及1个及以上省级行政区的卫生健康业务处理能力丧失，对公众健康造成重大损失或负面影响</w:t>
            </w:r>
            <w:r>
              <w:rPr>
                <w:rFonts w:hint="eastAsia" w:eastAsia="宋体" w:cs="宋体"/>
                <w:kern w:val="2"/>
                <w:sz w:val="18"/>
                <w:szCs w:val="18"/>
                <w:lang w:eastAsia="zh-CN" w:bidi="ar"/>
              </w:rPr>
              <w:t>；</w:t>
            </w:r>
          </w:p>
          <w:p>
            <w:pPr>
              <w:widowControl/>
              <w:numPr>
                <w:ilvl w:val="0"/>
                <w:numId w:val="18"/>
              </w:numPr>
              <w:spacing w:line="300" w:lineRule="exact"/>
              <w:ind w:left="227" w:hanging="227"/>
              <w:jc w:val="left"/>
              <w:rPr>
                <w:rFonts w:ascii="宋体" w:hAnsi="宋体" w:eastAsia="宋体" w:cs="宋体"/>
                <w:color w:val="000000"/>
                <w:kern w:val="0"/>
                <w:sz w:val="18"/>
                <w:szCs w:val="18"/>
                <w:lang w:bidi="ar"/>
              </w:rPr>
            </w:pPr>
            <w:r>
              <w:rPr>
                <w:rFonts w:hint="eastAsia" w:ascii="宋体" w:hAnsi="宋体" w:eastAsia="宋体" w:cs="宋体"/>
                <w:kern w:val="2"/>
                <w:sz w:val="18"/>
                <w:szCs w:val="18"/>
                <w:lang w:bidi="ar"/>
              </w:rPr>
              <w:t>经国家卫生健康委评估确定的核心数据。</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689" w:type="dxa"/>
            <w:shd w:val="clear" w:color="auto" w:fill="auto"/>
            <w:tcMar>
              <w:top w:w="72" w:type="dxa"/>
              <w:left w:w="144" w:type="dxa"/>
              <w:bottom w:w="72" w:type="dxa"/>
              <w:right w:w="144" w:type="dxa"/>
            </w:tcMar>
            <w:vAlign w:val="center"/>
          </w:tcPr>
          <w:p>
            <w:pPr>
              <w:widowControl/>
              <w:spacing w:line="240" w:lineRule="auto"/>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L4</w:t>
            </w:r>
          </w:p>
        </w:tc>
        <w:tc>
          <w:tcPr>
            <w:tcW w:w="3102" w:type="dxa"/>
            <w:shd w:val="clear" w:color="auto" w:fill="auto"/>
            <w:tcMar>
              <w:top w:w="72" w:type="dxa"/>
              <w:left w:w="144" w:type="dxa"/>
              <w:bottom w:w="72" w:type="dxa"/>
              <w:right w:w="144" w:type="dxa"/>
            </w:tcMar>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36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重要数据（L4）</w:t>
            </w:r>
          </w:p>
        </w:tc>
        <w:tc>
          <w:tcPr>
            <w:tcW w:w="4713" w:type="dxa"/>
            <w:shd w:val="clear" w:color="auto" w:fill="auto"/>
            <w:tcMar>
              <w:top w:w="72" w:type="dxa"/>
              <w:left w:w="144" w:type="dxa"/>
              <w:bottom w:w="72" w:type="dxa"/>
              <w:right w:w="144" w:type="dxa"/>
            </w:tcMar>
            <w:vAlign w:val="center"/>
          </w:tcPr>
          <w:p>
            <w:pPr>
              <w:widowControl/>
              <w:numPr>
                <w:ilvl w:val="0"/>
                <w:numId w:val="19"/>
              </w:numPr>
              <w:spacing w:line="300" w:lineRule="exact"/>
              <w:ind w:left="227"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涉及100万人及以上个人信息或10万人及以上敏感个人信息</w:t>
            </w:r>
            <w:r>
              <w:rPr>
                <w:rFonts w:hint="eastAsia" w:eastAsia="宋体" w:cs="宋体"/>
                <w:kern w:val="2"/>
                <w:sz w:val="18"/>
                <w:szCs w:val="18"/>
                <w:lang w:eastAsia="zh-CN" w:bidi="ar"/>
              </w:rPr>
              <w:t>；</w:t>
            </w:r>
          </w:p>
          <w:p>
            <w:pPr>
              <w:widowControl/>
              <w:numPr>
                <w:ilvl w:val="0"/>
                <w:numId w:val="19"/>
              </w:numPr>
              <w:spacing w:line="300" w:lineRule="exact"/>
              <w:ind w:left="227"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涉及10万人的群体健康生理状况数据</w:t>
            </w:r>
            <w:r>
              <w:rPr>
                <w:rFonts w:hint="eastAsia" w:eastAsia="宋体" w:cs="宋体"/>
                <w:kern w:val="2"/>
                <w:sz w:val="18"/>
                <w:szCs w:val="18"/>
                <w:lang w:eastAsia="zh-CN" w:bidi="ar"/>
              </w:rPr>
              <w:t>；</w:t>
            </w:r>
          </w:p>
          <w:p>
            <w:pPr>
              <w:widowControl/>
              <w:numPr>
                <w:ilvl w:val="0"/>
                <w:numId w:val="19"/>
              </w:numPr>
              <w:spacing w:line="300" w:lineRule="exact"/>
              <w:ind w:left="227"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涉及10万人的诊疗数据、医疗救援保障数据、特定药品实验数据等</w:t>
            </w:r>
            <w:r>
              <w:rPr>
                <w:rFonts w:hint="eastAsia" w:eastAsia="宋体" w:cs="宋体"/>
                <w:kern w:val="2"/>
                <w:sz w:val="18"/>
                <w:szCs w:val="18"/>
                <w:lang w:eastAsia="zh-CN" w:bidi="ar"/>
              </w:rPr>
              <w:t>；</w:t>
            </w:r>
          </w:p>
          <w:p>
            <w:pPr>
              <w:widowControl/>
              <w:numPr>
                <w:ilvl w:val="0"/>
                <w:numId w:val="19"/>
              </w:numPr>
              <w:spacing w:line="300" w:lineRule="exact"/>
              <w:ind w:left="227"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涉及1万人的族群特征的数据、健康医疗资源数据</w:t>
            </w:r>
            <w:r>
              <w:rPr>
                <w:rFonts w:hint="eastAsia" w:eastAsia="宋体" w:cs="宋体"/>
                <w:kern w:val="2"/>
                <w:sz w:val="18"/>
                <w:szCs w:val="18"/>
                <w:lang w:eastAsia="zh-CN" w:bidi="ar"/>
              </w:rPr>
              <w:t>；</w:t>
            </w:r>
          </w:p>
          <w:p>
            <w:pPr>
              <w:widowControl/>
              <w:numPr>
                <w:ilvl w:val="0"/>
                <w:numId w:val="19"/>
              </w:numPr>
              <w:spacing w:line="300" w:lineRule="exact"/>
              <w:ind w:left="227"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涉及1个及以上地级行政区的卫生健康业务处理能力丧失，对公众健康造成一定损失或负面影响</w:t>
            </w:r>
            <w:r>
              <w:rPr>
                <w:rFonts w:hint="eastAsia" w:eastAsia="宋体" w:cs="宋体"/>
                <w:kern w:val="2"/>
                <w:sz w:val="18"/>
                <w:szCs w:val="18"/>
                <w:lang w:eastAsia="zh-CN" w:bidi="ar"/>
              </w:rPr>
              <w:t>；</w:t>
            </w:r>
          </w:p>
          <w:p>
            <w:pPr>
              <w:widowControl/>
              <w:numPr>
                <w:ilvl w:val="0"/>
                <w:numId w:val="19"/>
              </w:numPr>
              <w:spacing w:line="300" w:lineRule="exact"/>
              <w:ind w:left="227"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经国家卫生健康委评估确定的重要数据。</w:t>
            </w:r>
          </w:p>
        </w:tc>
      </w:tr>
    </w:tbl>
    <w:p>
      <w:pPr>
        <w:jc w:val="center"/>
        <w:rPr>
          <w:rFonts w:hint="eastAsia" w:ascii="黑体" w:hAnsi="黑体" w:eastAsia="黑体" w:cs="宋体"/>
          <w:color w:val="000000"/>
          <w:kern w:val="0"/>
          <w:sz w:val="21"/>
          <w:szCs w:val="21"/>
          <w:lang w:bidi="ar"/>
        </w:rPr>
      </w:pPr>
    </w:p>
    <w:p>
      <w:pPr>
        <w:jc w:val="center"/>
        <w:rPr>
          <w:rFonts w:hint="eastAsia" w:eastAsia="黑体"/>
          <w:lang w:eastAsia="zh-CN"/>
        </w:rPr>
      </w:pPr>
      <w:r>
        <w:rPr>
          <w:rFonts w:hint="eastAsia" w:ascii="黑体" w:hAnsi="黑体" w:eastAsia="黑体" w:cs="宋体"/>
          <w:color w:val="000000"/>
          <w:kern w:val="0"/>
          <w:sz w:val="21"/>
          <w:szCs w:val="21"/>
          <w:lang w:bidi="ar"/>
        </w:rPr>
        <w:t>表2</w:t>
      </w:r>
      <w:r>
        <w:rPr>
          <w:rFonts w:hint="eastAsia" w:ascii="黑体" w:hAnsi="黑体" w:eastAsia="黑体" w:cs="宋体"/>
          <w:color w:val="000000"/>
          <w:kern w:val="0"/>
          <w:sz w:val="21"/>
          <w:szCs w:val="21"/>
          <w:lang w:val="en-US" w:eastAsia="zh-CN" w:bidi="ar"/>
        </w:rPr>
        <w:t xml:space="preserve"> </w:t>
      </w:r>
      <w:r>
        <w:rPr>
          <w:rFonts w:hint="eastAsia" w:ascii="黑体" w:hAnsi="黑体" w:eastAsia="黑体" w:cs="宋体"/>
          <w:color w:val="000000"/>
          <w:kern w:val="0"/>
          <w:sz w:val="21"/>
          <w:szCs w:val="21"/>
          <w:lang w:bidi="ar"/>
        </w:rPr>
        <w:t xml:space="preserve"> 数据级别确定表</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续</w:t>
      </w:r>
      <w:r>
        <w:rPr>
          <w:rFonts w:hint="eastAsia" w:ascii="宋体" w:hAnsi="宋体" w:eastAsia="宋体" w:cs="宋体"/>
          <w:color w:val="000000"/>
          <w:kern w:val="0"/>
          <w:sz w:val="21"/>
          <w:szCs w:val="21"/>
          <w:lang w:eastAsia="zh-CN" w:bidi="ar"/>
        </w:rPr>
        <w:t>）</w:t>
      </w:r>
    </w:p>
    <w:tbl>
      <w:tblPr>
        <w:tblStyle w:val="22"/>
        <w:tblW w:w="8504"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689"/>
        <w:gridCol w:w="3102"/>
        <w:gridCol w:w="471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689"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jc w:val="center"/>
              <w:rPr>
                <w:rFonts w:hint="eastAsia" w:ascii="宋体" w:hAnsi="宋体" w:cs="宋体" w:eastAsiaTheme="minorEastAsia"/>
                <w:kern w:val="2"/>
                <w:sz w:val="18"/>
                <w:szCs w:val="18"/>
                <w:lang w:val="en-US" w:eastAsia="zh-CN" w:bidi="ar"/>
              </w:rPr>
            </w:pPr>
            <w:r>
              <w:rPr>
                <w:rFonts w:hint="default" w:ascii="宋体" w:hAnsi="宋体" w:cs="宋体" w:eastAsiaTheme="minorEastAsia"/>
                <w:kern w:val="2"/>
                <w:sz w:val="18"/>
                <w:szCs w:val="18"/>
                <w:lang w:bidi="ar"/>
              </w:rPr>
              <w:t>级别</w:t>
            </w:r>
          </w:p>
        </w:tc>
        <w:tc>
          <w:tcPr>
            <w:tcW w:w="3102"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firstLineChars="0"/>
              <w:jc w:val="center"/>
              <w:rPr>
                <w:rFonts w:hint="eastAsia" w:ascii="宋体" w:hAnsi="宋体" w:cs="宋体" w:eastAsiaTheme="minorEastAsia"/>
                <w:kern w:val="2"/>
                <w:sz w:val="18"/>
                <w:szCs w:val="18"/>
                <w:lang w:val="en-US" w:eastAsia="zh-CN" w:bidi="ar"/>
              </w:rPr>
            </w:pPr>
            <w:r>
              <w:rPr>
                <w:rFonts w:hint="default" w:ascii="宋体" w:hAnsi="宋体" w:cs="宋体" w:eastAsiaTheme="minorEastAsia"/>
                <w:kern w:val="2"/>
                <w:sz w:val="18"/>
                <w:szCs w:val="18"/>
                <w:lang w:bidi="ar"/>
              </w:rPr>
              <w:t>定义</w:t>
            </w:r>
          </w:p>
        </w:tc>
        <w:tc>
          <w:tcPr>
            <w:tcW w:w="4713" w:type="dxa"/>
            <w:tcBorders>
              <w:bottom w:val="single" w:color="auto" w:sz="8" w:space="0"/>
            </w:tcBorders>
            <w:shd w:val="clear" w:color="auto" w:fill="auto"/>
            <w:tcMar>
              <w:top w:w="72" w:type="dxa"/>
              <w:left w:w="144" w:type="dxa"/>
              <w:bottom w:w="72" w:type="dxa"/>
              <w:right w:w="144" w:type="dxa"/>
            </w:tcMar>
            <w:vAlign w:val="center"/>
          </w:tcPr>
          <w:p>
            <w:pPr>
              <w:widowControl/>
              <w:spacing w:line="240" w:lineRule="auto"/>
              <w:ind w:firstLine="0" w:firstLineChars="0"/>
              <w:jc w:val="center"/>
              <w:rPr>
                <w:rFonts w:hint="eastAsia" w:ascii="宋体" w:hAnsi="宋体" w:cs="宋体" w:eastAsiaTheme="minorEastAsia"/>
                <w:kern w:val="2"/>
                <w:sz w:val="18"/>
                <w:szCs w:val="18"/>
                <w:lang w:val="en-US" w:eastAsia="zh-CN" w:bidi="ar"/>
              </w:rPr>
            </w:pPr>
            <w:r>
              <w:rPr>
                <w:rFonts w:hint="default" w:ascii="宋体" w:hAnsi="宋体" w:cs="宋体" w:eastAsiaTheme="minorEastAsia"/>
                <w:kern w:val="2"/>
                <w:sz w:val="18"/>
                <w:szCs w:val="18"/>
                <w:lang w:bidi="ar"/>
              </w:rPr>
              <w:t>识别规则</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997" w:hRule="atLeast"/>
          <w:jc w:val="center"/>
        </w:trPr>
        <w:tc>
          <w:tcPr>
            <w:tcW w:w="689" w:type="dxa"/>
            <w:tcBorders>
              <w:top w:val="single" w:color="auto" w:sz="8" w:space="0"/>
            </w:tcBorders>
            <w:shd w:val="clear" w:color="auto" w:fill="auto"/>
            <w:tcMar>
              <w:top w:w="72" w:type="dxa"/>
              <w:left w:w="144" w:type="dxa"/>
              <w:bottom w:w="72" w:type="dxa"/>
              <w:right w:w="144" w:type="dxa"/>
            </w:tcMar>
            <w:vAlign w:val="center"/>
          </w:tcPr>
          <w:p>
            <w:pPr>
              <w:widowControl/>
              <w:spacing w:line="240" w:lineRule="auto"/>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L3</w:t>
            </w:r>
          </w:p>
        </w:tc>
        <w:tc>
          <w:tcPr>
            <w:tcW w:w="3102" w:type="dxa"/>
            <w:tcBorders>
              <w:top w:val="single" w:color="auto" w:sz="8" w:space="0"/>
            </w:tcBorders>
            <w:shd w:val="clear" w:color="auto" w:fill="auto"/>
            <w:tcMar>
              <w:top w:w="72" w:type="dxa"/>
              <w:left w:w="144" w:type="dxa"/>
              <w:bottom w:w="72" w:type="dxa"/>
              <w:right w:w="144" w:type="dxa"/>
            </w:tcMar>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36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一般数据（L3）</w:t>
            </w:r>
          </w:p>
        </w:tc>
        <w:tc>
          <w:tcPr>
            <w:tcW w:w="4713" w:type="dxa"/>
            <w:tcBorders>
              <w:top w:val="single" w:color="auto" w:sz="8" w:space="0"/>
            </w:tcBorders>
            <w:shd w:val="clear" w:color="auto" w:fill="auto"/>
            <w:tcMar>
              <w:top w:w="72" w:type="dxa"/>
              <w:left w:w="144" w:type="dxa"/>
              <w:bottom w:w="72" w:type="dxa"/>
              <w:right w:w="144" w:type="dxa"/>
            </w:tcMar>
            <w:vAlign w:val="center"/>
          </w:tcPr>
          <w:p>
            <w:pPr>
              <w:widowControl/>
              <w:numPr>
                <w:ilvl w:val="0"/>
                <w:numId w:val="20"/>
              </w:numPr>
              <w:spacing w:line="240" w:lineRule="auto"/>
              <w:ind w:left="227" w:leftChars="0"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直接影响医疗机构日常运行管理的数据；</w:t>
            </w:r>
          </w:p>
          <w:p>
            <w:pPr>
              <w:widowControl/>
              <w:numPr>
                <w:ilvl w:val="0"/>
                <w:numId w:val="20"/>
              </w:numPr>
              <w:spacing w:line="240" w:lineRule="auto"/>
              <w:ind w:left="227" w:leftChars="0"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覆盖医疗机构所有健康生理状况、个人信息数据；</w:t>
            </w:r>
          </w:p>
          <w:p>
            <w:pPr>
              <w:widowControl/>
              <w:numPr>
                <w:ilvl w:val="0"/>
                <w:numId w:val="20"/>
              </w:numPr>
              <w:spacing w:line="240" w:lineRule="auto"/>
              <w:ind w:left="227" w:leftChars="0"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未公开发布的年度统计类数据及其他衍生数据。</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689" w:type="dxa"/>
            <w:shd w:val="clear" w:color="auto" w:fill="auto"/>
            <w:tcMar>
              <w:top w:w="72" w:type="dxa"/>
              <w:left w:w="144" w:type="dxa"/>
              <w:bottom w:w="72" w:type="dxa"/>
              <w:right w:w="144" w:type="dxa"/>
            </w:tcMar>
            <w:vAlign w:val="center"/>
          </w:tcPr>
          <w:p>
            <w:pPr>
              <w:widowControl/>
              <w:spacing w:line="240" w:lineRule="auto"/>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L2</w:t>
            </w:r>
          </w:p>
        </w:tc>
        <w:tc>
          <w:tcPr>
            <w:tcW w:w="3102" w:type="dxa"/>
            <w:shd w:val="clear" w:color="auto" w:fill="auto"/>
            <w:tcMar>
              <w:top w:w="72" w:type="dxa"/>
              <w:left w:w="144" w:type="dxa"/>
              <w:bottom w:w="72" w:type="dxa"/>
              <w:right w:w="144" w:type="dxa"/>
            </w:tcMar>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36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一般数据（L2）</w:t>
            </w:r>
          </w:p>
        </w:tc>
        <w:tc>
          <w:tcPr>
            <w:tcW w:w="4713" w:type="dxa"/>
            <w:shd w:val="clear" w:color="auto" w:fill="auto"/>
            <w:tcMar>
              <w:top w:w="72" w:type="dxa"/>
              <w:left w:w="144" w:type="dxa"/>
              <w:bottom w:w="72" w:type="dxa"/>
              <w:right w:w="144" w:type="dxa"/>
            </w:tcMar>
            <w:vAlign w:val="center"/>
          </w:tcPr>
          <w:p>
            <w:pPr>
              <w:widowControl/>
              <w:numPr>
                <w:ilvl w:val="0"/>
                <w:numId w:val="21"/>
              </w:numPr>
              <w:spacing w:line="240" w:lineRule="auto"/>
              <w:ind w:left="227" w:leftChars="0"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直接影响医疗机构某一特定医疗业务的数据；</w:t>
            </w:r>
          </w:p>
          <w:p>
            <w:pPr>
              <w:widowControl/>
              <w:numPr>
                <w:ilvl w:val="0"/>
                <w:numId w:val="21"/>
              </w:numPr>
              <w:spacing w:line="240" w:lineRule="auto"/>
              <w:ind w:left="227" w:leftChars="0"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直接影响职工、患者、患者家属及第三方合作人员权益的数据。</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689" w:type="dxa"/>
            <w:shd w:val="clear" w:color="auto" w:fill="auto"/>
            <w:tcMar>
              <w:top w:w="72" w:type="dxa"/>
              <w:left w:w="144" w:type="dxa"/>
              <w:bottom w:w="72" w:type="dxa"/>
              <w:right w:w="144" w:type="dxa"/>
            </w:tcMar>
            <w:vAlign w:val="center"/>
          </w:tcPr>
          <w:p>
            <w:pPr>
              <w:widowControl/>
              <w:spacing w:line="240" w:lineRule="auto"/>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L1</w:t>
            </w:r>
          </w:p>
        </w:tc>
        <w:tc>
          <w:tcPr>
            <w:tcW w:w="3102" w:type="dxa"/>
            <w:shd w:val="clear" w:color="auto" w:fill="auto"/>
            <w:tcMar>
              <w:top w:w="72" w:type="dxa"/>
              <w:left w:w="144" w:type="dxa"/>
              <w:bottom w:w="72" w:type="dxa"/>
              <w:right w:w="144" w:type="dxa"/>
            </w:tcMar>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36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一般数据（L1）</w:t>
            </w:r>
          </w:p>
        </w:tc>
        <w:tc>
          <w:tcPr>
            <w:tcW w:w="4713" w:type="dxa"/>
            <w:shd w:val="clear" w:color="auto" w:fill="auto"/>
            <w:tcMar>
              <w:top w:w="72" w:type="dxa"/>
              <w:left w:w="144" w:type="dxa"/>
              <w:bottom w:w="72" w:type="dxa"/>
              <w:right w:w="144" w:type="dxa"/>
            </w:tcMar>
            <w:vAlign w:val="center"/>
          </w:tcPr>
          <w:p>
            <w:pPr>
              <w:widowControl/>
              <w:numPr>
                <w:ilvl w:val="0"/>
                <w:numId w:val="22"/>
              </w:numPr>
              <w:spacing w:line="240" w:lineRule="auto"/>
              <w:ind w:left="227" w:leftChars="0"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可对外公开发布的数据；</w:t>
            </w:r>
          </w:p>
          <w:p>
            <w:pPr>
              <w:widowControl/>
              <w:numPr>
                <w:ilvl w:val="0"/>
                <w:numId w:val="22"/>
              </w:numPr>
              <w:spacing w:line="240" w:lineRule="auto"/>
              <w:ind w:left="227" w:leftChars="0" w:hanging="227" w:firstLineChars="0"/>
              <w:jc w:val="left"/>
              <w:rPr>
                <w:rFonts w:hint="eastAsia" w:ascii="宋体" w:hAnsi="宋体" w:eastAsia="宋体" w:cs="宋体"/>
                <w:kern w:val="2"/>
                <w:sz w:val="18"/>
                <w:szCs w:val="18"/>
                <w:lang w:bidi="ar"/>
              </w:rPr>
            </w:pPr>
            <w:r>
              <w:rPr>
                <w:rFonts w:hint="eastAsia" w:ascii="宋体" w:hAnsi="宋体" w:eastAsia="宋体" w:cs="宋体"/>
                <w:kern w:val="2"/>
                <w:sz w:val="18"/>
                <w:szCs w:val="18"/>
                <w:lang w:bidi="ar"/>
              </w:rPr>
              <w:t>同时考虑发布数据的类别、规模及关联分析的风险。</w:t>
            </w:r>
          </w:p>
        </w:tc>
      </w:tr>
    </w:tbl>
    <w:p>
      <w:pPr>
        <w:pStyle w:val="30"/>
        <w:widowControl w:val="0"/>
        <w:ind w:left="425"/>
        <w:jc w:val="both"/>
        <w:rPr>
          <w:lang w:bidi="ar"/>
        </w:rPr>
      </w:pPr>
    </w:p>
    <w:p>
      <w:pPr>
        <w:pStyle w:val="57"/>
        <w:numPr>
          <w:ilvl w:val="0"/>
          <w:numId w:val="17"/>
        </w:numPr>
        <w:ind w:left="840" w:leftChars="200" w:hanging="420" w:hangingChars="200"/>
        <w:rPr>
          <w:rFonts w:hint="eastAsia" w:cs="宋体" w:asciiTheme="minorEastAsia" w:hAnsiTheme="minorEastAsia"/>
          <w:color w:val="000000"/>
          <w:szCs w:val="21"/>
          <w:lang w:bidi="ar"/>
        </w:rPr>
      </w:pPr>
      <w:r>
        <w:rPr>
          <w:rFonts w:hint="eastAsia" w:cs="宋体" w:asciiTheme="minorEastAsia" w:hAnsiTheme="minorEastAsia"/>
          <w:color w:val="000000"/>
          <w:szCs w:val="21"/>
          <w:lang w:bidi="ar"/>
        </w:rPr>
        <w:t>医疗机构中若存在反映生物技术研究、开发和应用情况，反映族群特征、遗传信息，关系重大突发传染病、动植物疫情，关系生物实验室安全，或可能被利用制造生物武器、实施生物恐怖袭击，关系外来物种入侵和生物多样性的数据，此类数据级别应不低于L4</w:t>
      </w:r>
      <w:r>
        <w:rPr>
          <w:rFonts w:hint="eastAsia" w:cs="宋体" w:asciiTheme="minorEastAsia" w:hAnsiTheme="minorEastAsia"/>
          <w:color w:val="000000"/>
          <w:szCs w:val="21"/>
          <w:lang w:eastAsia="zh-CN" w:bidi="ar"/>
        </w:rPr>
        <w:t>；</w:t>
      </w:r>
    </w:p>
    <w:p>
      <w:pPr>
        <w:pStyle w:val="57"/>
        <w:numPr>
          <w:ilvl w:val="0"/>
          <w:numId w:val="17"/>
        </w:numPr>
        <w:ind w:left="840" w:leftChars="200" w:hanging="420" w:hangingChars="200"/>
        <w:rPr>
          <w:rFonts w:hint="eastAsia" w:cs="宋体" w:asciiTheme="minorEastAsia" w:hAnsiTheme="minorEastAsia"/>
          <w:color w:val="000000"/>
          <w:szCs w:val="21"/>
          <w:lang w:bidi="ar"/>
        </w:rPr>
      </w:pPr>
      <w:r>
        <w:rPr>
          <w:rFonts w:hint="eastAsia" w:cs="宋体" w:asciiTheme="minorEastAsia" w:hAnsiTheme="minorEastAsia"/>
          <w:color w:val="000000"/>
          <w:szCs w:val="21"/>
          <w:lang w:bidi="ar"/>
        </w:rPr>
        <w:t>医疗机构中若存在反映国家或</w:t>
      </w:r>
      <w:bookmarkStart w:id="151" w:name="_GoBack"/>
      <w:bookmarkEnd w:id="151"/>
      <w:r>
        <w:rPr>
          <w:rFonts w:hint="eastAsia" w:cs="宋体" w:asciiTheme="minorEastAsia" w:hAnsiTheme="minorEastAsia"/>
          <w:color w:val="000000"/>
          <w:szCs w:val="21"/>
          <w:lang w:bidi="ar"/>
        </w:rPr>
        <w:t>地区群体健康生理状况，关系疾病传播与防治，关系食品药品安全的数据，此类数据级别应不低于L4</w:t>
      </w:r>
      <w:r>
        <w:rPr>
          <w:rFonts w:hint="eastAsia" w:cs="宋体" w:asciiTheme="minorEastAsia" w:hAnsiTheme="minorEastAsia"/>
          <w:color w:val="000000"/>
          <w:szCs w:val="21"/>
          <w:lang w:eastAsia="zh-CN" w:bidi="ar"/>
        </w:rPr>
        <w:t>；</w:t>
      </w:r>
    </w:p>
    <w:p>
      <w:pPr>
        <w:pStyle w:val="57"/>
        <w:numPr>
          <w:ilvl w:val="0"/>
          <w:numId w:val="17"/>
        </w:numPr>
        <w:ind w:left="840" w:leftChars="200" w:hanging="420" w:hangingChars="200"/>
        <w:rPr>
          <w:rFonts w:hint="eastAsia" w:cs="宋体" w:asciiTheme="minorEastAsia" w:hAnsiTheme="minorEastAsia"/>
          <w:color w:val="000000"/>
          <w:szCs w:val="21"/>
          <w:lang w:bidi="ar"/>
        </w:rPr>
      </w:pPr>
      <w:r>
        <w:rPr>
          <w:rFonts w:hint="eastAsia" w:cs="宋体" w:asciiTheme="minorEastAsia" w:hAnsiTheme="minorEastAsia"/>
          <w:color w:val="000000"/>
          <w:szCs w:val="21"/>
          <w:lang w:bidi="ar"/>
        </w:rPr>
        <w:t>若待分级数据涉及多个要素、多个影响对象或影响程度，应按照就高从严原则确定数据级别</w:t>
      </w:r>
      <w:r>
        <w:rPr>
          <w:rFonts w:hint="eastAsia" w:cs="宋体" w:asciiTheme="minorEastAsia" w:hAnsiTheme="minorEastAsia"/>
          <w:color w:val="000000"/>
          <w:szCs w:val="21"/>
          <w:lang w:eastAsia="zh-CN" w:bidi="ar"/>
        </w:rPr>
        <w:t>；</w:t>
      </w:r>
    </w:p>
    <w:p>
      <w:pPr>
        <w:pStyle w:val="57"/>
        <w:numPr>
          <w:ilvl w:val="0"/>
          <w:numId w:val="17"/>
        </w:numPr>
        <w:ind w:left="840" w:leftChars="200" w:hanging="420" w:hangingChars="200"/>
        <w:rPr>
          <w:rFonts w:hint="eastAsia" w:cs="宋体" w:asciiTheme="minorEastAsia" w:hAnsiTheme="minorEastAsia"/>
          <w:color w:val="000000"/>
          <w:szCs w:val="21"/>
          <w:lang w:bidi="ar"/>
        </w:rPr>
      </w:pPr>
      <w:r>
        <w:rPr>
          <w:rFonts w:hint="eastAsia" w:cs="宋体" w:asciiTheme="minorEastAsia" w:hAnsiTheme="minorEastAsia"/>
          <w:color w:val="000000"/>
          <w:szCs w:val="21"/>
          <w:lang w:bidi="ar"/>
        </w:rPr>
        <w:t>数据集级别应在数据项级别的基础上，按照就高从严的原则，将数据集包含数据项的最高级别作为数据集默认级别，但同时也要考虑分级要素</w:t>
      </w:r>
      <w:r>
        <w:rPr>
          <w:rFonts w:hint="eastAsia" w:cs="宋体" w:asciiTheme="minorEastAsia" w:hAnsiTheme="minorEastAsia"/>
          <w:color w:val="000000"/>
          <w:szCs w:val="21"/>
          <w:lang w:eastAsia="zh-CN" w:bidi="ar"/>
        </w:rPr>
        <w:t>（</w:t>
      </w:r>
      <w:r>
        <w:rPr>
          <w:rFonts w:hint="eastAsia" w:cs="宋体" w:asciiTheme="minorEastAsia" w:hAnsiTheme="minorEastAsia"/>
          <w:color w:val="000000"/>
          <w:szCs w:val="21"/>
          <w:lang w:bidi="ar"/>
        </w:rPr>
        <w:t>如数据规模</w:t>
      </w:r>
      <w:r>
        <w:rPr>
          <w:rFonts w:hint="eastAsia" w:cs="宋体" w:asciiTheme="minorEastAsia" w:hAnsiTheme="minorEastAsia"/>
          <w:color w:val="000000"/>
          <w:szCs w:val="21"/>
          <w:lang w:eastAsia="zh-CN" w:bidi="ar"/>
        </w:rPr>
        <w:t>）</w:t>
      </w:r>
      <w:r>
        <w:rPr>
          <w:rFonts w:hint="eastAsia" w:cs="宋体" w:asciiTheme="minorEastAsia" w:hAnsiTheme="minorEastAsia"/>
          <w:color w:val="000000"/>
          <w:szCs w:val="21"/>
          <w:lang w:bidi="ar"/>
        </w:rPr>
        <w:t>变化可能需要调高级别</w:t>
      </w:r>
      <w:r>
        <w:rPr>
          <w:rFonts w:hint="eastAsia" w:cs="宋体" w:asciiTheme="minorEastAsia" w:hAnsiTheme="minorEastAsia"/>
          <w:color w:val="000000"/>
          <w:szCs w:val="21"/>
          <w:lang w:eastAsia="zh-CN" w:bidi="ar"/>
        </w:rPr>
        <w:t>；</w:t>
      </w:r>
    </w:p>
    <w:p>
      <w:pPr>
        <w:pStyle w:val="57"/>
        <w:numPr>
          <w:ilvl w:val="0"/>
          <w:numId w:val="17"/>
        </w:numPr>
        <w:ind w:left="840" w:leftChars="200" w:hanging="420" w:hangingChars="200"/>
        <w:rPr>
          <w:rFonts w:hint="eastAsia" w:cs="宋体" w:asciiTheme="minorEastAsia" w:hAnsiTheme="minorEastAsia"/>
          <w:color w:val="000000"/>
          <w:szCs w:val="21"/>
          <w:lang w:bidi="ar"/>
        </w:rPr>
      </w:pPr>
      <w:r>
        <w:rPr>
          <w:rFonts w:hint="eastAsia" w:cs="宋体" w:asciiTheme="minorEastAsia" w:hAnsiTheme="minorEastAsia"/>
          <w:color w:val="000000"/>
          <w:szCs w:val="21"/>
          <w:lang w:bidi="ar"/>
        </w:rPr>
        <w:t>衍生数据级别应按照就高从严原则，在原始数据级别的基础上，综合考虑加工后的数据深度等分级要素对国家安全、经济运行、社会秩序、公共利益、组织权益、个人权益的影响进行确定</w:t>
      </w:r>
      <w:r>
        <w:rPr>
          <w:rFonts w:hint="eastAsia" w:cs="宋体" w:asciiTheme="minorEastAsia" w:hAnsiTheme="minorEastAsia"/>
          <w:color w:val="000000"/>
          <w:szCs w:val="21"/>
          <w:lang w:eastAsia="zh-CN" w:bidi="ar"/>
        </w:rPr>
        <w:t>；</w:t>
      </w:r>
    </w:p>
    <w:p>
      <w:pPr>
        <w:pStyle w:val="57"/>
        <w:numPr>
          <w:ilvl w:val="0"/>
          <w:numId w:val="17"/>
        </w:numPr>
        <w:ind w:left="840" w:leftChars="200" w:hanging="420" w:hangingChars="200"/>
        <w:rPr>
          <w:rFonts w:hint="eastAsia" w:cs="宋体" w:asciiTheme="minorEastAsia" w:hAnsiTheme="minorEastAsia"/>
          <w:color w:val="000000"/>
          <w:szCs w:val="21"/>
          <w:lang w:bidi="ar"/>
        </w:rPr>
      </w:pPr>
      <w:r>
        <w:rPr>
          <w:rFonts w:hint="eastAsia" w:cs="宋体" w:asciiTheme="minorEastAsia" w:hAnsiTheme="minorEastAsia"/>
          <w:color w:val="000000"/>
          <w:szCs w:val="21"/>
          <w:lang w:bidi="ar"/>
        </w:rPr>
        <w:t>根据数据重要程度和可能造成的危害程度的变化，应对数据级别进行动态更新</w:t>
      </w:r>
      <w:r>
        <w:rPr>
          <w:rFonts w:hint="eastAsia" w:cs="宋体" w:asciiTheme="minorEastAsia" w:hAnsiTheme="minorEastAsia"/>
          <w:color w:val="000000"/>
          <w:szCs w:val="21"/>
          <w:lang w:eastAsia="zh-CN" w:bidi="ar"/>
        </w:rPr>
        <w:t>；</w:t>
      </w:r>
    </w:p>
    <w:p>
      <w:pPr>
        <w:pStyle w:val="57"/>
        <w:numPr>
          <w:ilvl w:val="0"/>
          <w:numId w:val="17"/>
        </w:numPr>
        <w:ind w:left="840" w:leftChars="200" w:hanging="420" w:hangingChars="200"/>
        <w:rPr>
          <w:rFonts w:cs="宋体" w:asciiTheme="minorEastAsia" w:hAnsiTheme="minorEastAsia"/>
          <w:color w:val="000000"/>
          <w:szCs w:val="21"/>
          <w:lang w:bidi="ar"/>
        </w:rPr>
      </w:pPr>
      <w:r>
        <w:rPr>
          <w:rFonts w:hint="eastAsia" w:cs="宋体" w:asciiTheme="minorEastAsia" w:hAnsiTheme="minorEastAsia"/>
          <w:color w:val="000000"/>
          <w:szCs w:val="21"/>
          <w:lang w:bidi="ar"/>
        </w:rPr>
        <w:t>特殊病种和特殊人群等的特殊数据的安全级别，按照管理实际可以适当提高。</w:t>
      </w:r>
    </w:p>
    <w:p>
      <w:pPr>
        <w:pStyle w:val="68"/>
        <w:rPr>
          <w:rFonts w:hint="eastAsia" w:ascii="黑体" w:hAnsi="黑体" w:eastAsia="黑体" w:cs="黑体"/>
          <w:b w:val="0"/>
          <w:sz w:val="21"/>
          <w:szCs w:val="21"/>
        </w:rPr>
      </w:pPr>
      <w:bookmarkStart w:id="100" w:name="_Toc14674"/>
      <w:bookmarkStart w:id="101" w:name="_Toc1093298569"/>
      <w:bookmarkStart w:id="102" w:name="_Toc169775916"/>
      <w:r>
        <w:rPr>
          <w:rFonts w:hint="eastAsia" w:ascii="黑体" w:hAnsi="黑体" w:eastAsia="黑体" w:cs="黑体"/>
          <w:b w:val="0"/>
          <w:sz w:val="21"/>
          <w:szCs w:val="21"/>
        </w:rPr>
        <w:t>数据分类分级管理</w:t>
      </w:r>
      <w:bookmarkEnd w:id="100"/>
      <w:bookmarkEnd w:id="101"/>
      <w:bookmarkEnd w:id="102"/>
    </w:p>
    <w:p>
      <w:pPr>
        <w:pStyle w:val="67"/>
        <w:rPr>
          <w:rFonts w:ascii="黑体" w:hAnsi="黑体" w:eastAsia="黑体"/>
          <w:b w:val="0"/>
          <w:sz w:val="21"/>
          <w:szCs w:val="21"/>
        </w:rPr>
      </w:pPr>
      <w:bookmarkStart w:id="103" w:name="_Toc959"/>
      <w:bookmarkStart w:id="104" w:name="_Toc169775917"/>
      <w:bookmarkStart w:id="105" w:name="_Toc1198965451"/>
      <w:r>
        <w:rPr>
          <w:rFonts w:hint="eastAsia" w:ascii="黑体" w:hAnsi="黑体" w:eastAsia="黑体"/>
          <w:b w:val="0"/>
          <w:sz w:val="21"/>
          <w:szCs w:val="21"/>
        </w:rPr>
        <w:t>职责分工</w:t>
      </w:r>
      <w:bookmarkEnd w:id="103"/>
      <w:bookmarkEnd w:id="104"/>
      <w:bookmarkEnd w:id="105"/>
    </w:p>
    <w:p>
      <w:pPr>
        <w:widowControl/>
        <w:ind w:firstLine="420" w:firstLineChars="200"/>
        <w:jc w:val="left"/>
        <w:rPr>
          <w:rFonts w:cs="宋体" w:asciiTheme="minorEastAsia" w:hAnsiTheme="minorEastAsia"/>
          <w:color w:val="000000"/>
          <w:kern w:val="0"/>
          <w:sz w:val="21"/>
          <w:szCs w:val="21"/>
          <w:lang w:bidi="ar"/>
        </w:rPr>
      </w:pPr>
      <w:r>
        <w:rPr>
          <w:rFonts w:hint="eastAsia" w:cs="宋体" w:asciiTheme="minorEastAsia" w:hAnsiTheme="minorEastAsia"/>
          <w:color w:val="000000"/>
          <w:kern w:val="0"/>
          <w:sz w:val="21"/>
          <w:szCs w:val="21"/>
          <w:lang w:bidi="ar"/>
        </w:rPr>
        <w:t>针对数据分类分级工作开展，医疗机构应有明确的工作分工和职责确定，确保数据分类分级工作有序推进。</w:t>
      </w:r>
    </w:p>
    <w:p>
      <w:pPr>
        <w:pStyle w:val="57"/>
        <w:numPr>
          <w:ilvl w:val="0"/>
          <w:numId w:val="23"/>
        </w:numPr>
        <w:ind w:left="840" w:leftChars="200" w:hanging="420" w:hangingChars="200"/>
        <w:rPr>
          <w:rFonts w:cs="宋体" w:asciiTheme="minorEastAsia" w:hAnsiTheme="minorEastAsia"/>
          <w:color w:val="000000"/>
          <w:szCs w:val="21"/>
          <w:lang w:bidi="ar"/>
        </w:rPr>
      </w:pPr>
      <w:r>
        <w:rPr>
          <w:rFonts w:hint="eastAsia" w:cs="宋体" w:asciiTheme="minorEastAsia" w:hAnsiTheme="minorEastAsia"/>
          <w:color w:val="000000"/>
          <w:szCs w:val="21"/>
          <w:lang w:bidi="ar"/>
        </w:rPr>
        <w:t>应明确数据分类分级的管理部门，负责医疗机构的分类分级统筹管理工作，领导各部门开展分类分级工作。职责划分如下：</w:t>
      </w:r>
    </w:p>
    <w:p>
      <w:pPr>
        <w:pStyle w:val="57"/>
        <w:numPr>
          <w:ilvl w:val="0"/>
          <w:numId w:val="24"/>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负责数据分类分级工作的目标、计划的制定；</w:t>
      </w:r>
    </w:p>
    <w:p>
      <w:pPr>
        <w:pStyle w:val="57"/>
        <w:numPr>
          <w:ilvl w:val="0"/>
          <w:numId w:val="24"/>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负责数据分类分级流程、制度的制定；</w:t>
      </w:r>
    </w:p>
    <w:p>
      <w:pPr>
        <w:pStyle w:val="57"/>
        <w:numPr>
          <w:ilvl w:val="0"/>
          <w:numId w:val="24"/>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负责数据分类分级规范的制定；</w:t>
      </w:r>
    </w:p>
    <w:p>
      <w:pPr>
        <w:pStyle w:val="57"/>
        <w:numPr>
          <w:ilvl w:val="0"/>
          <w:numId w:val="24"/>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负责对执行部门的分类分级成果开展审核评价；</w:t>
      </w:r>
    </w:p>
    <w:p>
      <w:pPr>
        <w:pStyle w:val="57"/>
        <w:numPr>
          <w:ilvl w:val="0"/>
          <w:numId w:val="24"/>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负责对重要/核心数据目录的编制和统一上报；</w:t>
      </w:r>
    </w:p>
    <w:p>
      <w:pPr>
        <w:pStyle w:val="57"/>
        <w:numPr>
          <w:ilvl w:val="0"/>
          <w:numId w:val="24"/>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负责数据分类分级保护策略的制定</w:t>
      </w:r>
      <w:r>
        <w:rPr>
          <w:rFonts w:hint="eastAsia" w:cs="宋体" w:asciiTheme="minorEastAsia" w:hAnsiTheme="minorEastAsia"/>
          <w:color w:val="000000"/>
          <w:kern w:val="0"/>
          <w:szCs w:val="21"/>
          <w:lang w:eastAsia="zh-CN" w:bidi="ar"/>
        </w:rPr>
        <w:t>。</w:t>
      </w:r>
    </w:p>
    <w:p>
      <w:pPr>
        <w:pStyle w:val="57"/>
        <w:numPr>
          <w:ilvl w:val="0"/>
          <w:numId w:val="23"/>
        </w:numPr>
        <w:ind w:left="840" w:leftChars="200" w:hanging="420" w:hangingChars="200"/>
        <w:rPr>
          <w:rFonts w:cs="宋体" w:asciiTheme="minorEastAsia" w:hAnsiTheme="minorEastAsia"/>
          <w:color w:val="000000"/>
          <w:szCs w:val="21"/>
          <w:lang w:bidi="ar"/>
        </w:rPr>
      </w:pPr>
      <w:r>
        <w:rPr>
          <w:rFonts w:hint="eastAsia" w:cs="宋体" w:asciiTheme="minorEastAsia" w:hAnsiTheme="minorEastAsia"/>
          <w:color w:val="000000"/>
          <w:szCs w:val="21"/>
          <w:lang w:bidi="ar"/>
        </w:rPr>
        <w:t>应明确数据分类分级的执行部门，负责医疗机构分类分级工作的具体执行，协调各部门开展数据分类分级工作。职责划分如下：</w:t>
      </w:r>
    </w:p>
    <w:p>
      <w:pPr>
        <w:pStyle w:val="57"/>
        <w:numPr>
          <w:ilvl w:val="0"/>
          <w:numId w:val="25"/>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依据管理部门制定的分类分级目标、计划、流程、制度以及规范开展数据分类分级工作；</w:t>
      </w:r>
    </w:p>
    <w:p>
      <w:pPr>
        <w:pStyle w:val="57"/>
        <w:numPr>
          <w:ilvl w:val="0"/>
          <w:numId w:val="25"/>
        </w:numPr>
        <w:ind w:left="1260" w:leftChars="400" w:hanging="420" w:hangingChars="20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负责将执行结果反馈至管理部门</w:t>
      </w:r>
      <w:r>
        <w:rPr>
          <w:rFonts w:hint="eastAsia" w:cs="宋体" w:asciiTheme="minorEastAsia" w:hAnsiTheme="minorEastAsia"/>
          <w:color w:val="000000"/>
          <w:kern w:val="0"/>
          <w:szCs w:val="21"/>
          <w:lang w:eastAsia="zh-CN" w:bidi="ar"/>
        </w:rPr>
        <w:t>；</w:t>
      </w:r>
    </w:p>
    <w:p>
      <w:pPr>
        <w:pStyle w:val="57"/>
        <w:numPr>
          <w:ilvl w:val="0"/>
          <w:numId w:val="25"/>
        </w:numPr>
        <w:ind w:left="1155" w:leftChars="400" w:hanging="315" w:hangingChars="150"/>
        <w:outlineLvl w:val="9"/>
        <w:rPr>
          <w:rFonts w:cs="宋体" w:asciiTheme="minorEastAsia" w:hAnsiTheme="minorEastAsia"/>
          <w:color w:val="000000"/>
          <w:kern w:val="0"/>
          <w:szCs w:val="21"/>
          <w:lang w:bidi="ar"/>
        </w:rPr>
      </w:pPr>
      <w:r>
        <w:rPr>
          <w:rFonts w:hint="eastAsia" w:cs="宋体" w:asciiTheme="minorEastAsia" w:hAnsiTheme="minorEastAsia"/>
          <w:color w:val="000000"/>
          <w:kern w:val="0"/>
          <w:szCs w:val="21"/>
          <w:lang w:bidi="ar"/>
        </w:rPr>
        <w:t>配合管理部门开展数据分类分级相关规范制度的优化迭代。在执行过程中对数据分类分级规范要求存在异议时，应与管理部门沟通，讨论规范的合理性，研讨并修正，保证数据分类分级规范的可执行性</w:t>
      </w:r>
      <w:r>
        <w:rPr>
          <w:rFonts w:hint="eastAsia" w:cs="宋体" w:asciiTheme="minorEastAsia" w:hAnsiTheme="minorEastAsia"/>
          <w:color w:val="000000"/>
          <w:kern w:val="0"/>
          <w:szCs w:val="21"/>
          <w:lang w:eastAsia="zh-CN" w:bidi="ar"/>
        </w:rPr>
        <w:t>。</w:t>
      </w:r>
    </w:p>
    <w:p>
      <w:pPr>
        <w:pStyle w:val="57"/>
        <w:numPr>
          <w:ilvl w:val="0"/>
          <w:numId w:val="23"/>
        </w:numPr>
        <w:ind w:left="840" w:leftChars="200" w:hanging="420" w:hangingChars="200"/>
        <w:rPr>
          <w:rFonts w:cs="宋体" w:asciiTheme="minorEastAsia" w:hAnsiTheme="minorEastAsia"/>
          <w:color w:val="FF0000"/>
          <w:szCs w:val="21"/>
          <w:lang w:bidi="ar"/>
        </w:rPr>
      </w:pPr>
      <w:r>
        <w:rPr>
          <w:rFonts w:hint="eastAsia" w:cs="宋体" w:asciiTheme="minorEastAsia" w:hAnsiTheme="minorEastAsia"/>
          <w:color w:val="000000"/>
          <w:sz w:val="21"/>
          <w:szCs w:val="21"/>
          <w:lang w:bidi="ar"/>
        </w:rPr>
        <w:t>医疗机构数据分类分级职责划分建议参考附录</w:t>
      </w:r>
      <w:r>
        <w:rPr>
          <w:rFonts w:cs="宋体" w:asciiTheme="minorEastAsia" w:hAnsiTheme="minorEastAsia"/>
          <w:color w:val="000000"/>
          <w:sz w:val="21"/>
          <w:szCs w:val="21"/>
          <w:lang w:bidi="ar"/>
        </w:rPr>
        <w:t>B</w:t>
      </w:r>
      <w:r>
        <w:rPr>
          <w:rFonts w:hint="eastAsia" w:cs="宋体" w:asciiTheme="minorEastAsia" w:hAnsiTheme="minorEastAsia"/>
          <w:color w:val="000000"/>
          <w:sz w:val="21"/>
          <w:szCs w:val="21"/>
          <w:lang w:eastAsia="zh-CN" w:bidi="ar"/>
        </w:rPr>
        <w:t>。</w:t>
      </w:r>
    </w:p>
    <w:p>
      <w:pPr>
        <w:widowControl/>
        <w:ind w:left="780" w:leftChars="200" w:hanging="360" w:hangingChars="200"/>
        <w:jc w:val="left"/>
        <w:rPr>
          <w:rFonts w:cs="宋体" w:asciiTheme="minorEastAsia" w:hAnsiTheme="minorEastAsia"/>
          <w:color w:val="000000"/>
          <w:kern w:val="0"/>
          <w:sz w:val="18"/>
          <w:szCs w:val="18"/>
          <w:lang w:bidi="ar"/>
        </w:rPr>
      </w:pPr>
      <w:r>
        <w:rPr>
          <w:rFonts w:hint="eastAsia" w:ascii="黑体" w:hAnsi="黑体" w:eastAsia="黑体" w:cs="黑体"/>
          <w:color w:val="000000"/>
          <w:kern w:val="0"/>
          <w:sz w:val="18"/>
          <w:szCs w:val="18"/>
          <w:lang w:bidi="ar"/>
        </w:rPr>
        <w:t>注：</w:t>
      </w:r>
      <w:r>
        <w:rPr>
          <w:rFonts w:hint="eastAsia" w:cs="宋体" w:asciiTheme="minorEastAsia" w:hAnsiTheme="minorEastAsia"/>
          <w:color w:val="000000"/>
          <w:kern w:val="0"/>
          <w:sz w:val="18"/>
          <w:szCs w:val="18"/>
          <w:lang w:bidi="ar"/>
        </w:rPr>
        <w:t>数据分类分级工作不仅仅围绕信息部门开展，还包括如行政、急诊、门诊、住院、药房、财务等支撑医疗卫生机构运转的部门。</w:t>
      </w:r>
    </w:p>
    <w:p>
      <w:pPr>
        <w:pStyle w:val="67"/>
        <w:rPr>
          <w:rFonts w:ascii="黑体" w:hAnsi="黑体" w:eastAsia="黑体"/>
          <w:b w:val="0"/>
          <w:sz w:val="21"/>
          <w:szCs w:val="21"/>
        </w:rPr>
      </w:pPr>
      <w:bookmarkStart w:id="106" w:name="_Toc21596"/>
      <w:bookmarkStart w:id="107" w:name="_Toc1173275156"/>
      <w:bookmarkStart w:id="108" w:name="_Toc169775918"/>
      <w:r>
        <w:rPr>
          <w:rFonts w:hint="eastAsia" w:ascii="黑体" w:hAnsi="黑体" w:eastAsia="黑体"/>
          <w:b w:val="0"/>
          <w:sz w:val="21"/>
          <w:szCs w:val="21"/>
        </w:rPr>
        <w:t>工作要求</w:t>
      </w:r>
      <w:bookmarkEnd w:id="106"/>
    </w:p>
    <w:p>
      <w:pPr>
        <w:pStyle w:val="71"/>
      </w:pPr>
      <w:bookmarkStart w:id="109" w:name="_Toc15945"/>
      <w:r>
        <w:rPr>
          <w:rFonts w:hint="default"/>
        </w:rPr>
        <w:t>分类分级工作流程</w:t>
      </w:r>
      <w:bookmarkEnd w:id="107"/>
      <w:bookmarkEnd w:id="108"/>
      <w:bookmarkEnd w:id="109"/>
    </w:p>
    <w:p>
      <w:pPr>
        <w:pStyle w:val="2"/>
        <w:ind w:firstLine="420" w:firstLineChars="200"/>
        <w:rPr>
          <w:rFonts w:hint="eastAsia" w:eastAsiaTheme="minorEastAsia"/>
          <w:sz w:val="21"/>
          <w:szCs w:val="21"/>
          <w:lang w:eastAsia="zh-CN"/>
        </w:rPr>
      </w:pPr>
      <w:r>
        <w:rPr>
          <w:rFonts w:hint="eastAsia"/>
          <w:sz w:val="21"/>
          <w:szCs w:val="21"/>
        </w:rPr>
        <w:t>医疗机构开展数据分类分级工作，可以按照以下流程</w:t>
      </w:r>
      <w:r>
        <w:rPr>
          <w:rFonts w:hint="eastAsia"/>
          <w:sz w:val="21"/>
          <w:szCs w:val="21"/>
          <w:lang w:eastAsia="zh-CN"/>
        </w:rPr>
        <w:t>：</w:t>
      </w:r>
    </w:p>
    <w:p>
      <w:pPr>
        <w:pStyle w:val="57"/>
        <w:numPr>
          <w:ilvl w:val="0"/>
          <w:numId w:val="26"/>
        </w:numPr>
        <w:ind w:left="840" w:leftChars="200" w:hanging="420" w:hangingChars="200"/>
        <w:rPr>
          <w:rFonts w:cs="宋体" w:asciiTheme="minorEastAsia" w:hAnsiTheme="minorEastAsia"/>
          <w:color w:val="000000"/>
          <w:szCs w:val="21"/>
          <w:lang w:bidi="ar"/>
        </w:rPr>
      </w:pPr>
      <w:r>
        <w:rPr>
          <w:rFonts w:cs="宋体" w:asciiTheme="minorEastAsia" w:hAnsiTheme="minorEastAsia"/>
          <w:color w:val="000000"/>
          <w:szCs w:val="21"/>
          <w:lang w:bidi="ar"/>
        </w:rPr>
        <w:t>数据资产梳理：对本</w:t>
      </w:r>
      <w:r>
        <w:rPr>
          <w:rFonts w:hint="eastAsia" w:cs="宋体" w:asciiTheme="minorEastAsia" w:hAnsiTheme="minorEastAsia"/>
          <w:color w:val="000000"/>
          <w:szCs w:val="21"/>
          <w:lang w:bidi="ar"/>
        </w:rPr>
        <w:t>机构</w:t>
      </w:r>
      <w:r>
        <w:rPr>
          <w:rFonts w:cs="宋体" w:asciiTheme="minorEastAsia" w:hAnsiTheme="minorEastAsia"/>
          <w:color w:val="000000"/>
          <w:szCs w:val="21"/>
          <w:lang w:bidi="ar"/>
        </w:rPr>
        <w:t>的数据资产进行全面梳理，形成数据资产清单，确定数据分类分级对象（如数据集、数据项、衍生数据等）；</w:t>
      </w:r>
    </w:p>
    <w:p>
      <w:pPr>
        <w:pStyle w:val="57"/>
        <w:numPr>
          <w:ilvl w:val="0"/>
          <w:numId w:val="26"/>
        </w:numPr>
        <w:ind w:left="840" w:leftChars="200" w:hanging="420" w:hangingChars="200"/>
        <w:rPr>
          <w:rFonts w:cs="宋体" w:asciiTheme="minorEastAsia" w:hAnsiTheme="minorEastAsia"/>
          <w:color w:val="000000"/>
          <w:szCs w:val="21"/>
          <w:lang w:bidi="ar"/>
        </w:rPr>
      </w:pPr>
      <w:r>
        <w:rPr>
          <w:rFonts w:cs="宋体" w:asciiTheme="minorEastAsia" w:hAnsiTheme="minorEastAsia"/>
          <w:color w:val="000000"/>
          <w:szCs w:val="21"/>
          <w:lang w:bidi="ar"/>
        </w:rPr>
        <w:t>数据分类分级：按照本文件数据分类</w:t>
      </w:r>
      <w:r>
        <w:rPr>
          <w:rFonts w:hint="eastAsia" w:cs="宋体" w:asciiTheme="minorEastAsia" w:hAnsiTheme="minorEastAsia"/>
          <w:color w:val="000000"/>
          <w:szCs w:val="21"/>
          <w:lang w:bidi="ar"/>
        </w:rPr>
        <w:t>方法</w:t>
      </w:r>
      <w:r>
        <w:rPr>
          <w:rFonts w:cs="宋体" w:asciiTheme="minorEastAsia" w:hAnsiTheme="minorEastAsia"/>
          <w:color w:val="000000"/>
          <w:szCs w:val="21"/>
          <w:lang w:bidi="ar"/>
        </w:rPr>
        <w:t>和数据分级</w:t>
      </w:r>
      <w:r>
        <w:rPr>
          <w:rFonts w:hint="eastAsia" w:cs="宋体" w:asciiTheme="minorEastAsia" w:hAnsiTheme="minorEastAsia"/>
          <w:color w:val="000000"/>
          <w:szCs w:val="21"/>
          <w:lang w:bidi="ar"/>
        </w:rPr>
        <w:t>方法</w:t>
      </w:r>
      <w:r>
        <w:rPr>
          <w:rFonts w:cs="宋体" w:asciiTheme="minorEastAsia" w:hAnsiTheme="minorEastAsia"/>
          <w:color w:val="000000"/>
          <w:szCs w:val="21"/>
          <w:lang w:bidi="ar"/>
        </w:rPr>
        <w:t>，结合本</w:t>
      </w:r>
      <w:r>
        <w:rPr>
          <w:rFonts w:hint="eastAsia" w:cs="宋体" w:asciiTheme="minorEastAsia" w:hAnsiTheme="minorEastAsia"/>
          <w:color w:val="000000"/>
          <w:szCs w:val="21"/>
          <w:lang w:bidi="ar"/>
        </w:rPr>
        <w:t>机构</w:t>
      </w:r>
      <w:r>
        <w:rPr>
          <w:rFonts w:cs="宋体" w:asciiTheme="minorEastAsia" w:hAnsiTheme="minorEastAsia"/>
          <w:color w:val="000000"/>
          <w:szCs w:val="21"/>
          <w:lang w:bidi="ar"/>
        </w:rPr>
        <w:t>实际对数据进行分类分级；</w:t>
      </w:r>
    </w:p>
    <w:p>
      <w:pPr>
        <w:pStyle w:val="57"/>
        <w:numPr>
          <w:ilvl w:val="0"/>
          <w:numId w:val="26"/>
        </w:numPr>
        <w:ind w:left="840" w:leftChars="200" w:hanging="420" w:hangingChars="200"/>
        <w:rPr>
          <w:rFonts w:cs="宋体" w:asciiTheme="minorEastAsia" w:hAnsiTheme="minorEastAsia"/>
          <w:color w:val="000000"/>
          <w:szCs w:val="21"/>
          <w:lang w:bidi="ar"/>
        </w:rPr>
      </w:pPr>
      <w:r>
        <w:rPr>
          <w:rFonts w:cs="宋体" w:asciiTheme="minorEastAsia" w:hAnsiTheme="minorEastAsia"/>
          <w:color w:val="000000"/>
          <w:szCs w:val="21"/>
          <w:lang w:bidi="ar"/>
        </w:rPr>
        <w:t>数据目录</w:t>
      </w:r>
      <w:r>
        <w:rPr>
          <w:rFonts w:hint="eastAsia" w:cs="宋体" w:asciiTheme="minorEastAsia" w:hAnsiTheme="minorEastAsia"/>
          <w:color w:val="000000"/>
          <w:szCs w:val="21"/>
          <w:lang w:bidi="ar"/>
        </w:rPr>
        <w:t>上报</w:t>
      </w:r>
      <w:r>
        <w:rPr>
          <w:rFonts w:cs="宋体" w:asciiTheme="minorEastAsia" w:hAnsiTheme="minorEastAsia"/>
          <w:color w:val="000000"/>
          <w:szCs w:val="21"/>
          <w:lang w:bidi="ar"/>
        </w:rPr>
        <w:t>：</w:t>
      </w:r>
      <w:r>
        <w:rPr>
          <w:rFonts w:hint="eastAsia" w:cs="宋体" w:asciiTheme="minorEastAsia" w:hAnsiTheme="minorEastAsia"/>
          <w:color w:val="000000"/>
          <w:szCs w:val="21"/>
          <w:lang w:bidi="ar"/>
        </w:rPr>
        <w:t>医疗机构应根据行业主管部门要求，</w:t>
      </w:r>
      <w:r>
        <w:rPr>
          <w:rFonts w:cs="宋体" w:asciiTheme="minorEastAsia" w:hAnsiTheme="minorEastAsia"/>
          <w:color w:val="000000"/>
          <w:szCs w:val="21"/>
          <w:lang w:bidi="ar"/>
        </w:rPr>
        <w:t>将拟定</w:t>
      </w:r>
      <w:r>
        <w:rPr>
          <w:rFonts w:hint="eastAsia" w:cs="宋体" w:asciiTheme="minorEastAsia" w:hAnsiTheme="minorEastAsia"/>
          <w:color w:val="000000"/>
          <w:szCs w:val="21"/>
          <w:lang w:bidi="ar"/>
        </w:rPr>
        <w:t>为</w:t>
      </w:r>
      <w:r>
        <w:rPr>
          <w:rFonts w:cs="宋体" w:asciiTheme="minorEastAsia" w:hAnsiTheme="minorEastAsia"/>
          <w:color w:val="000000"/>
          <w:szCs w:val="21"/>
          <w:lang w:bidi="ar"/>
        </w:rPr>
        <w:t>核心和重要数据目录报送至上级</w:t>
      </w:r>
      <w:r>
        <w:rPr>
          <w:rFonts w:hint="eastAsia" w:cs="宋体" w:asciiTheme="minorEastAsia" w:hAnsiTheme="minorEastAsia"/>
          <w:color w:val="000000"/>
          <w:szCs w:val="21"/>
          <w:lang w:bidi="ar"/>
        </w:rPr>
        <w:t>单位进行审批、备案；</w:t>
      </w:r>
    </w:p>
    <w:p>
      <w:pPr>
        <w:widowControl/>
        <w:ind w:firstLine="360" w:firstLineChars="200"/>
        <w:jc w:val="left"/>
        <w:rPr>
          <w:rFonts w:cs="宋体" w:asciiTheme="minorEastAsia" w:hAnsiTheme="minorEastAsia"/>
          <w:color w:val="000000"/>
          <w:kern w:val="0"/>
          <w:sz w:val="18"/>
          <w:szCs w:val="18"/>
          <w:lang w:bidi="ar"/>
        </w:rPr>
      </w:pPr>
      <w:r>
        <w:rPr>
          <w:rFonts w:hint="eastAsia" w:ascii="黑体" w:hAnsi="黑体" w:eastAsia="黑体" w:cs="黑体"/>
          <w:color w:val="000000"/>
          <w:kern w:val="0"/>
          <w:sz w:val="18"/>
          <w:szCs w:val="18"/>
          <w:lang w:bidi="ar"/>
        </w:rPr>
        <w:t>注：</w:t>
      </w:r>
      <w:r>
        <w:rPr>
          <w:rFonts w:hint="eastAsia" w:cs="宋体" w:asciiTheme="minorEastAsia" w:hAnsiTheme="minorEastAsia"/>
          <w:color w:val="000000"/>
          <w:kern w:val="0"/>
          <w:sz w:val="18"/>
          <w:szCs w:val="18"/>
          <w:lang w:bidi="ar"/>
        </w:rPr>
        <w:t>苏州市医疗机构数据目录上报模板见附录</w:t>
      </w:r>
      <w:r>
        <w:rPr>
          <w:rFonts w:cs="宋体" w:asciiTheme="minorEastAsia" w:hAnsiTheme="minorEastAsia"/>
          <w:color w:val="000000"/>
          <w:kern w:val="0"/>
          <w:sz w:val="18"/>
          <w:szCs w:val="18"/>
          <w:lang w:bidi="ar"/>
        </w:rPr>
        <w:t>C</w:t>
      </w:r>
      <w:r>
        <w:rPr>
          <w:rFonts w:hint="eastAsia" w:cs="宋体" w:asciiTheme="minorEastAsia" w:hAnsiTheme="minorEastAsia"/>
          <w:color w:val="000000"/>
          <w:kern w:val="0"/>
          <w:sz w:val="18"/>
          <w:szCs w:val="18"/>
          <w:lang w:bidi="ar"/>
        </w:rPr>
        <w:t>。</w:t>
      </w:r>
    </w:p>
    <w:p>
      <w:pPr>
        <w:pStyle w:val="57"/>
        <w:numPr>
          <w:ilvl w:val="0"/>
          <w:numId w:val="26"/>
        </w:numPr>
        <w:ind w:left="840" w:leftChars="200" w:hanging="420" w:hangingChars="200"/>
        <w:rPr>
          <w:rFonts w:cs="宋体" w:asciiTheme="minorEastAsia" w:hAnsiTheme="minorEastAsia"/>
          <w:color w:val="000000"/>
          <w:szCs w:val="21"/>
          <w:lang w:bidi="ar"/>
        </w:rPr>
      </w:pPr>
      <w:r>
        <w:rPr>
          <w:rFonts w:cs="宋体" w:asciiTheme="minorEastAsia" w:hAnsiTheme="minorEastAsia"/>
          <w:color w:val="000000"/>
          <w:szCs w:val="21"/>
          <w:lang w:bidi="ar"/>
        </w:rPr>
        <w:t>动态更新管理：数据业务属性、使用场景、公开范围</w:t>
      </w:r>
      <w:r>
        <w:rPr>
          <w:rFonts w:hint="eastAsia" w:cs="宋体" w:asciiTheme="minorEastAsia" w:hAnsiTheme="minorEastAsia"/>
          <w:color w:val="000000"/>
          <w:szCs w:val="21"/>
          <w:lang w:bidi="ar"/>
        </w:rPr>
        <w:t>、聚合脱敏、数据时效等发生变化时</w:t>
      </w:r>
      <w:r>
        <w:rPr>
          <w:rFonts w:cs="宋体" w:asciiTheme="minorEastAsia" w:hAnsiTheme="minorEastAsia"/>
          <w:color w:val="000000"/>
          <w:szCs w:val="21"/>
          <w:lang w:bidi="ar"/>
        </w:rPr>
        <w:t>，</w:t>
      </w:r>
      <w:r>
        <w:rPr>
          <w:rFonts w:hint="eastAsia" w:cs="宋体" w:asciiTheme="minorEastAsia" w:hAnsiTheme="minorEastAsia"/>
          <w:color w:val="000000"/>
          <w:szCs w:val="21"/>
          <w:lang w:bidi="ar"/>
        </w:rPr>
        <w:t>医疗机构</w:t>
      </w:r>
      <w:r>
        <w:rPr>
          <w:rFonts w:cs="宋体" w:asciiTheme="minorEastAsia" w:hAnsiTheme="minorEastAsia"/>
          <w:color w:val="000000"/>
          <w:szCs w:val="21"/>
          <w:lang w:bidi="ar"/>
        </w:rPr>
        <w:t>应按照本文件重新开展数据分类分级并按流程</w:t>
      </w:r>
      <w:r>
        <w:rPr>
          <w:rFonts w:hint="eastAsia" w:cs="宋体" w:asciiTheme="minorEastAsia" w:hAnsiTheme="minorEastAsia"/>
          <w:color w:val="000000"/>
          <w:szCs w:val="21"/>
          <w:lang w:bidi="ar"/>
        </w:rPr>
        <w:t>上报备案</w:t>
      </w:r>
      <w:r>
        <w:rPr>
          <w:rFonts w:cs="宋体" w:asciiTheme="minorEastAsia" w:hAnsiTheme="minorEastAsia"/>
          <w:color w:val="000000"/>
          <w:szCs w:val="21"/>
          <w:lang w:bidi="ar"/>
        </w:rPr>
        <w:t>。</w:t>
      </w:r>
    </w:p>
    <w:p>
      <w:pPr>
        <w:widowControl/>
        <w:ind w:left="420" w:leftChars="200" w:firstLine="0" w:firstLineChars="0"/>
        <w:jc w:val="left"/>
        <w:rPr>
          <w:rFonts w:cs="宋体" w:asciiTheme="minorEastAsia" w:hAnsiTheme="minorEastAsia"/>
          <w:color w:val="000000"/>
          <w:kern w:val="0"/>
          <w:sz w:val="18"/>
          <w:szCs w:val="18"/>
          <w:lang w:bidi="ar"/>
        </w:rPr>
      </w:pPr>
      <w:r>
        <w:rPr>
          <w:rFonts w:hint="eastAsia" w:ascii="黑体" w:hAnsi="黑体" w:eastAsia="黑体" w:cs="黑体"/>
          <w:color w:val="000000"/>
          <w:kern w:val="0"/>
          <w:sz w:val="18"/>
          <w:szCs w:val="18"/>
          <w:lang w:bidi="ar"/>
        </w:rPr>
        <w:t>注：</w:t>
      </w:r>
      <w:r>
        <w:rPr>
          <w:rFonts w:hint="eastAsia" w:ascii="宋体" w:hAnsi="宋体" w:eastAsia="宋体" w:cs="宋体"/>
          <w:bCs/>
          <w:color w:val="000000"/>
          <w:kern w:val="0"/>
          <w:sz w:val="18"/>
          <w:szCs w:val="18"/>
          <w:lang w:bidi="ar"/>
        </w:rPr>
        <w:t>数据安全级别变化规则</w:t>
      </w:r>
      <w:r>
        <w:rPr>
          <w:rFonts w:hint="eastAsia" w:ascii="宋体" w:hAnsi="宋体" w:eastAsia="宋体" w:cs="宋体"/>
          <w:color w:val="000000"/>
          <w:kern w:val="0"/>
          <w:sz w:val="18"/>
          <w:szCs w:val="18"/>
          <w:lang w:bidi="ar"/>
        </w:rPr>
        <w:t>见附录D。</w:t>
      </w:r>
    </w:p>
    <w:p>
      <w:pPr>
        <w:pStyle w:val="71"/>
      </w:pPr>
      <w:bookmarkStart w:id="110" w:name="_Toc27367"/>
      <w:r>
        <w:rPr>
          <w:rFonts w:hint="eastAsia"/>
        </w:rPr>
        <w:t>分类分级管理流程</w:t>
      </w:r>
      <w:bookmarkEnd w:id="110"/>
    </w:p>
    <w:p>
      <w:pPr>
        <w:pStyle w:val="2"/>
        <w:ind w:firstLine="420" w:firstLineChars="200"/>
        <w:rPr>
          <w:rFonts w:hint="eastAsia" w:eastAsiaTheme="minorEastAsia"/>
          <w:sz w:val="21"/>
          <w:szCs w:val="21"/>
          <w:lang w:eastAsia="zh-CN"/>
        </w:rPr>
      </w:pPr>
      <w:r>
        <w:rPr>
          <w:rFonts w:hint="eastAsia"/>
          <w:sz w:val="21"/>
          <w:szCs w:val="21"/>
        </w:rPr>
        <w:t>医疗机构管理数据分类分级工作，可以参考以下要求</w:t>
      </w:r>
      <w:r>
        <w:rPr>
          <w:rFonts w:hint="eastAsia"/>
          <w:sz w:val="21"/>
          <w:szCs w:val="21"/>
          <w:lang w:eastAsia="zh-CN"/>
        </w:rPr>
        <w:t>：</w:t>
      </w:r>
    </w:p>
    <w:p>
      <w:pPr>
        <w:pStyle w:val="57"/>
        <w:numPr>
          <w:ilvl w:val="0"/>
          <w:numId w:val="27"/>
        </w:numPr>
        <w:ind w:left="840" w:leftChars="200" w:hanging="420" w:hangingChars="200"/>
        <w:rPr>
          <w:rFonts w:hAnsi="宋体" w:cs="宋体"/>
          <w:color w:val="000000"/>
          <w:szCs w:val="21"/>
          <w:lang w:bidi="ar"/>
        </w:rPr>
      </w:pPr>
      <w:r>
        <w:rPr>
          <w:rFonts w:hint="eastAsia" w:hAnsi="宋体" w:cs="宋体"/>
          <w:color w:val="000000"/>
          <w:szCs w:val="21"/>
          <w:lang w:bidi="ar"/>
        </w:rPr>
        <w:t>数据</w:t>
      </w:r>
      <w:r>
        <w:rPr>
          <w:rFonts w:hint="eastAsia" w:cs="宋体" w:asciiTheme="minorEastAsia" w:hAnsiTheme="minorEastAsia"/>
          <w:color w:val="000000"/>
          <w:szCs w:val="21"/>
          <w:lang w:bidi="ar"/>
        </w:rPr>
        <w:t>分类</w:t>
      </w:r>
      <w:r>
        <w:rPr>
          <w:rFonts w:hint="eastAsia" w:hAnsi="宋体" w:cs="宋体"/>
          <w:color w:val="000000"/>
          <w:szCs w:val="21"/>
          <w:lang w:bidi="ar"/>
        </w:rPr>
        <w:t>分级的管理部门应整合数据分类和数据分级的成果，制定本医疗机构的数据分类分级规范</w:t>
      </w:r>
      <w:r>
        <w:rPr>
          <w:rFonts w:hint="eastAsia" w:hAnsi="宋体" w:cs="宋体"/>
          <w:color w:val="000000"/>
          <w:szCs w:val="21"/>
          <w:lang w:eastAsia="zh-CN" w:bidi="ar"/>
        </w:rPr>
        <w:t>；</w:t>
      </w:r>
    </w:p>
    <w:p>
      <w:pPr>
        <w:pStyle w:val="57"/>
        <w:numPr>
          <w:ilvl w:val="0"/>
          <w:numId w:val="27"/>
        </w:numPr>
        <w:ind w:left="840" w:leftChars="200" w:hanging="420" w:hangingChars="200"/>
        <w:rPr>
          <w:rFonts w:hAnsi="宋体" w:cs="宋体"/>
          <w:color w:val="000000"/>
          <w:szCs w:val="21"/>
          <w:lang w:bidi="ar"/>
        </w:rPr>
      </w:pPr>
      <w:r>
        <w:rPr>
          <w:rFonts w:hint="eastAsia" w:hAnsi="宋体" w:cs="宋体"/>
          <w:color w:val="000000"/>
          <w:szCs w:val="21"/>
          <w:lang w:bidi="ar"/>
        </w:rPr>
        <w:t>数据分类分级的管理部门应根据上级主管单位下发/更新的重要数据目录、核心数据目录，对本机构的数据分类分级目录进行调整</w:t>
      </w:r>
      <w:r>
        <w:rPr>
          <w:rFonts w:hint="eastAsia" w:hAnsi="宋体" w:cs="宋体"/>
          <w:color w:val="000000"/>
          <w:szCs w:val="21"/>
          <w:lang w:eastAsia="zh-CN" w:bidi="ar"/>
        </w:rPr>
        <w:t>；</w:t>
      </w:r>
    </w:p>
    <w:p>
      <w:pPr>
        <w:pStyle w:val="57"/>
        <w:numPr>
          <w:ilvl w:val="0"/>
          <w:numId w:val="27"/>
        </w:numPr>
        <w:ind w:left="840" w:leftChars="200" w:hanging="420" w:hangingChars="200"/>
        <w:rPr>
          <w:rFonts w:hAnsi="宋体" w:cs="宋体"/>
          <w:color w:val="000000"/>
          <w:szCs w:val="21"/>
          <w:lang w:bidi="ar"/>
        </w:rPr>
      </w:pPr>
      <w:r>
        <w:rPr>
          <w:rFonts w:hint="eastAsia" w:hAnsi="宋体" w:cs="宋体"/>
          <w:color w:val="000000"/>
          <w:szCs w:val="21"/>
          <w:lang w:bidi="ar"/>
        </w:rPr>
        <w:t>数据分类分级的管理部门应制定本机构的数据分类分级流程、制度，督促数据分类分级执行部门周期性开展分类分级工作。</w:t>
      </w:r>
    </w:p>
    <w:p>
      <w:pPr>
        <w:rPr>
          <w:rFonts w:hint="eastAsia" w:ascii="黑体" w:hAnsi="黑体" w:eastAsia="黑体"/>
          <w:sz w:val="20"/>
          <w:szCs w:val="20"/>
        </w:rPr>
        <w:sectPr>
          <w:headerReference r:id="rId19" w:type="default"/>
          <w:footerReference r:id="rId21" w:type="default"/>
          <w:headerReference r:id="rId20" w:type="even"/>
          <w:footerReference r:id="rId22" w:type="even"/>
          <w:pgSz w:w="11906" w:h="16838"/>
          <w:pgMar w:top="1417" w:right="1134" w:bottom="1134" w:left="1418" w:header="1417" w:footer="1134" w:gutter="0"/>
          <w:pgNumType w:fmt="decimal" w:start="1"/>
          <w:cols w:space="425" w:num="1"/>
          <w:docGrid w:type="lines" w:linePitch="312" w:charSpace="0"/>
        </w:sectPr>
      </w:pPr>
      <w:bookmarkStart w:id="111" w:name="_Toc169775920"/>
      <w:bookmarkStart w:id="112" w:name="_Toc1940398198"/>
    </w:p>
    <w:p>
      <w:pPr>
        <w:pStyle w:val="7"/>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附  录  A</w:t>
      </w:r>
      <w:bookmarkEnd w:id="111"/>
      <w:bookmarkEnd w:id="112"/>
    </w:p>
    <w:p>
      <w:pPr>
        <w:jc w:val="center"/>
        <w:rPr>
          <w:rFonts w:hint="eastAsia" w:ascii="黑体" w:hAnsi="黑体" w:eastAsia="黑体" w:cs="黑体"/>
          <w:b w:val="0"/>
          <w:sz w:val="21"/>
          <w:szCs w:val="22"/>
        </w:rPr>
      </w:pPr>
      <w:bookmarkStart w:id="113" w:name="_Toc24087"/>
      <w:bookmarkStart w:id="114" w:name="_Toc169775921"/>
      <w:bookmarkStart w:id="115" w:name="_Toc585850444"/>
      <w:r>
        <w:rPr>
          <w:rFonts w:hint="eastAsia" w:ascii="黑体" w:hAnsi="黑体" w:eastAsia="黑体" w:cs="黑体"/>
          <w:b w:val="0"/>
          <w:sz w:val="21"/>
          <w:szCs w:val="22"/>
          <w:lang w:eastAsia="zh-CN"/>
        </w:rPr>
        <w:t>（</w:t>
      </w:r>
      <w:r>
        <w:rPr>
          <w:rFonts w:hint="eastAsia" w:ascii="黑体" w:hAnsi="黑体" w:eastAsia="黑体" w:cs="黑体"/>
          <w:b w:val="0"/>
          <w:sz w:val="21"/>
          <w:szCs w:val="22"/>
        </w:rPr>
        <w:t>资料性</w:t>
      </w:r>
      <w:r>
        <w:rPr>
          <w:rFonts w:hint="eastAsia" w:ascii="黑体" w:hAnsi="黑体" w:eastAsia="黑体" w:cs="黑体"/>
          <w:b w:val="0"/>
          <w:sz w:val="21"/>
          <w:szCs w:val="22"/>
          <w:lang w:eastAsia="zh-CN"/>
        </w:rPr>
        <w:t>）</w:t>
      </w:r>
      <w:bookmarkEnd w:id="113"/>
      <w:bookmarkEnd w:id="114"/>
      <w:bookmarkEnd w:id="115"/>
    </w:p>
    <w:p>
      <w:pPr>
        <w:pStyle w:val="8"/>
        <w:adjustRightInd w:val="0"/>
        <w:snapToGrid w:val="0"/>
        <w:spacing w:after="283"/>
        <w:jc w:val="center"/>
        <w:outlineLvl w:val="0"/>
        <w:rPr>
          <w:rFonts w:hint="eastAsia" w:ascii="黑体" w:hAnsi="黑体" w:eastAsia="黑体" w:cstheme="minorBidi"/>
          <w:b w:val="0"/>
          <w:color w:val="000000"/>
          <w:sz w:val="21"/>
          <w:szCs w:val="21"/>
        </w:rPr>
      </w:pPr>
      <w:bookmarkStart w:id="116" w:name="_Toc169775922"/>
      <w:bookmarkStart w:id="117" w:name="_Toc175890813"/>
      <w:bookmarkStart w:id="118" w:name="_Toc13076"/>
      <w:bookmarkStart w:id="119" w:name="_Toc27854"/>
      <w:r>
        <w:rPr>
          <w:rFonts w:hint="eastAsia" w:ascii="黑体" w:hAnsi="黑体" w:eastAsia="黑体"/>
          <w:b w:val="0"/>
          <w:color w:val="000000"/>
          <w:sz w:val="21"/>
          <w:szCs w:val="21"/>
        </w:rPr>
        <w:t>医疗机构数据分类参考表</w:t>
      </w:r>
      <w:bookmarkEnd w:id="116"/>
      <w:bookmarkEnd w:id="117"/>
      <w:bookmarkEnd w:id="118"/>
      <w:bookmarkEnd w:id="119"/>
    </w:p>
    <w:p>
      <w:pPr>
        <w:pStyle w:val="2"/>
        <w:ind w:firstLine="420" w:firstLineChars="200"/>
        <w:rPr>
          <w:rFonts w:hint="default" w:asciiTheme="minorHAnsi" w:hAnsiTheme="minorHAnsi" w:eastAsiaTheme="minorEastAsia"/>
          <w:b w:val="0"/>
          <w:sz w:val="21"/>
          <w:szCs w:val="22"/>
        </w:rPr>
      </w:pPr>
      <w:r>
        <w:rPr>
          <w:rFonts w:hint="eastAsia" w:asciiTheme="minorHAnsi" w:hAnsiTheme="minorHAnsi" w:eastAsiaTheme="minorEastAsia"/>
          <w:b w:val="0"/>
          <w:sz w:val="21"/>
          <w:szCs w:val="22"/>
        </w:rPr>
        <w:t>医疗机构数据分类参考表</w:t>
      </w:r>
      <w:r>
        <w:rPr>
          <w:rFonts w:hint="eastAsia"/>
          <w:b w:val="0"/>
          <w:sz w:val="21"/>
          <w:szCs w:val="22"/>
          <w:lang w:val="en-US" w:eastAsia="zh-CN"/>
        </w:rPr>
        <w:t>见表A.1。</w:t>
      </w:r>
    </w:p>
    <w:p>
      <w:pPr>
        <w:pStyle w:val="62"/>
        <w:numPr>
          <w:ilvl w:val="0"/>
          <w:numId w:val="0"/>
        </w:numPr>
        <w:rPr>
          <w:rFonts w:hint="default" w:eastAsia="黑体"/>
          <w:lang w:val="en-US" w:eastAsia="zh-CN"/>
        </w:rPr>
      </w:pPr>
      <w:r>
        <w:rPr>
          <w:rFonts w:hint="eastAsia" w:hAnsi="黑体" w:cs="宋体"/>
          <w:color w:val="000000"/>
          <w:szCs w:val="21"/>
          <w:lang w:bidi="ar"/>
        </w:rPr>
        <w:t>表</w:t>
      </w:r>
      <w:r>
        <w:rPr>
          <w:rFonts w:hint="eastAsia" w:hAnsi="黑体" w:cs="宋体"/>
          <w:color w:val="000000"/>
          <w:szCs w:val="21"/>
          <w:lang w:val="en-US" w:eastAsia="zh-CN" w:bidi="ar"/>
        </w:rPr>
        <w:t>A</w:t>
      </w:r>
      <w:r>
        <w:rPr>
          <w:rFonts w:hint="eastAsia" w:hAnsi="黑体" w:cs="宋体"/>
          <w:color w:val="000000"/>
          <w:szCs w:val="21"/>
          <w:lang w:bidi="ar"/>
        </w:rPr>
        <w:t>.1</w:t>
      </w:r>
      <w:r>
        <w:rPr>
          <w:rFonts w:hint="eastAsia" w:hAnsi="黑体" w:cs="宋体"/>
          <w:color w:val="000000"/>
          <w:szCs w:val="21"/>
          <w:lang w:val="en-US" w:eastAsia="zh-CN" w:bidi="ar"/>
        </w:rPr>
        <w:t xml:space="preserve"> </w:t>
      </w:r>
      <w:r>
        <w:rPr>
          <w:rFonts w:hint="eastAsia" w:hAnsi="黑体" w:cs="宋体"/>
          <w:color w:val="000000"/>
          <w:szCs w:val="21"/>
          <w:lang w:bidi="ar"/>
        </w:rPr>
        <w:t xml:space="preserve"> 医疗机构数据分类参考表</w:t>
      </w:r>
    </w:p>
    <w:tbl>
      <w:tblPr>
        <w:tblStyle w:val="22"/>
        <w:tblW w:w="9270"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862"/>
        <w:gridCol w:w="2025"/>
        <w:gridCol w:w="538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862" w:type="dxa"/>
            <w:tcBorders>
              <w:bottom w:val="single" w:color="auto" w:sz="8" w:space="0"/>
            </w:tcBorders>
            <w:shd w:val="clear" w:color="000000" w:fill="FFFFFF" w:themeFill="background1"/>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一级类别</w:t>
            </w:r>
          </w:p>
        </w:tc>
        <w:tc>
          <w:tcPr>
            <w:tcW w:w="2025" w:type="dxa"/>
            <w:tcBorders>
              <w:bottom w:val="single" w:color="auto" w:sz="8" w:space="0"/>
            </w:tcBorders>
            <w:shd w:val="clear" w:color="000000" w:fill="FFFFFF" w:themeFill="background1"/>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二级类别</w:t>
            </w:r>
          </w:p>
        </w:tc>
        <w:tc>
          <w:tcPr>
            <w:tcW w:w="5383" w:type="dxa"/>
            <w:tcBorders>
              <w:bottom w:val="single" w:color="auto" w:sz="8" w:space="0"/>
            </w:tcBorders>
            <w:shd w:val="clear" w:color="000000" w:fill="FFFFFF" w:themeFill="background1"/>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内容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862" w:type="dxa"/>
            <w:vMerge w:val="restart"/>
            <w:tcBorders>
              <w:top w:val="single" w:color="auto" w:sz="8" w:space="0"/>
            </w:tcBorders>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个人属性信息</w:t>
            </w:r>
          </w:p>
        </w:tc>
        <w:tc>
          <w:tcPr>
            <w:tcW w:w="2025" w:type="dxa"/>
            <w:tcBorders>
              <w:top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个人基本信息</w:t>
            </w:r>
          </w:p>
        </w:tc>
        <w:tc>
          <w:tcPr>
            <w:tcW w:w="5383" w:type="dxa"/>
            <w:tcBorders>
              <w:top w:val="single" w:color="auto" w:sz="8" w:space="0"/>
            </w:tcBorders>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出生日期、性别、民族、国籍、职业、工作单位、家庭成员信息、联系人信息、收入、婚姻状态、血型、户籍属性、年龄、文化程度</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个人身份信息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身份证、军官证、护照、驾驶证、工作证、出入证、社保卡、居住证等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个人通讯信息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个人电话号码、邮箱、账号及关联信息等</w:t>
            </w:r>
            <w:r>
              <w:rPr>
                <w:rFonts w:hint="eastAsia" w:eastAsia="宋体" w:cs="宋体"/>
                <w:color w:val="000000"/>
                <w:kern w:val="0"/>
                <w:sz w:val="18"/>
                <w:szCs w:val="18"/>
                <w:lang w:eastAsia="zh-CN"/>
              </w:rPr>
              <w:t>；</w:t>
            </w:r>
            <w:r>
              <w:rPr>
                <w:rFonts w:hint="eastAsia" w:ascii="宋体" w:hAnsi="宋体" w:eastAsia="宋体" w:cs="宋体"/>
                <w:color w:val="000000"/>
                <w:kern w:val="0"/>
                <w:sz w:val="18"/>
                <w:szCs w:val="18"/>
              </w:rPr>
              <w:t xml:space="preserve"> 详细住址（街道/村委、小区、楼宇等）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个人财产信息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医保账户余额、就诊卡余额</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个人生物识别信息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个人基因、指纹、声纹、掌纹、耳廓、虹膜、面部特征等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个人就医信息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医保卡号、农合家庭医疗号、农合个人编号，建卡/档时间、可识别个人的影像图像、健康卡号、住院号、各类检查检验相关单号、医院就诊记录、就诊编号</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个人健康生理信息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主诉、现病史、既往病史、体格检查</w:t>
            </w:r>
            <w:r>
              <w:rPr>
                <w:rFonts w:hint="eastAsia" w:eastAsia="宋体" w:cs="宋体"/>
                <w:color w:val="000000"/>
                <w:kern w:val="0"/>
                <w:sz w:val="18"/>
                <w:szCs w:val="18"/>
                <w:lang w:eastAsia="zh-CN"/>
              </w:rPr>
              <w:t>（</w:t>
            </w:r>
            <w:r>
              <w:rPr>
                <w:rFonts w:hint="eastAsia" w:ascii="宋体" w:hAnsi="宋体" w:eastAsia="宋体" w:cs="宋体"/>
                <w:color w:val="000000"/>
                <w:kern w:val="0"/>
                <w:sz w:val="18"/>
                <w:szCs w:val="18"/>
              </w:rPr>
              <w:t>体征</w:t>
            </w:r>
            <w:r>
              <w:rPr>
                <w:rFonts w:hint="eastAsia" w:eastAsia="宋体" w:cs="宋体"/>
                <w:color w:val="000000"/>
                <w:kern w:val="0"/>
                <w:sz w:val="18"/>
                <w:szCs w:val="18"/>
                <w:lang w:eastAsia="zh-CN"/>
              </w:rPr>
              <w:t>）</w:t>
            </w:r>
            <w:r>
              <w:rPr>
                <w:rFonts w:hint="eastAsia" w:ascii="宋体" w:hAnsi="宋体" w:eastAsia="宋体" w:cs="宋体"/>
                <w:color w:val="000000"/>
                <w:kern w:val="0"/>
                <w:sz w:val="18"/>
                <w:szCs w:val="18"/>
              </w:rPr>
              <w:t xml:space="preserve"> 、家族史、症状、检验检查数据、遗传咨询数据、可穿戴设备采集的健康相关数据、生活方式、基因测序、转录产物测序、蛋白质分析测定、代谢小分子检测、人体微生物检测、生理缺陷情况、药物过敏史、精神状况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其他个人信息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其他个人信息</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62" w:type="dxa"/>
            <w:vMerge w:val="restart"/>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机构运营数据</w:t>
            </w: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机构基础数据</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医疗机构名称、医疗机构组织机构代码、医疗机构类别、医院学科门类、医院地址、电话、邮编、机构代码、科室介绍、医院等级、医生职称、医生简介、医生特长、人力资源、财务数据、后勤数据等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62" w:type="dxa"/>
            <w:vMerge w:val="continue"/>
            <w:shd w:val="clear" w:color="auto" w:fill="auto"/>
            <w:noWrap/>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机构医疗资源数据</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床位数、医药情况（药品名称、价格、用药剂量、药物使用频率、药品医保编码、药品国家代码等）、物资数据（药品采购情况等）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62" w:type="dxa"/>
            <w:vMerge w:val="restart"/>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医疗应用数据</w:t>
            </w: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基础就诊信息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就诊序号、挂号来源、门（急）诊号（病案号、就诊卡号、健康档案号）、科室名称、登记人、放号时间、退号信息、预约记录、孕期情况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病历信息</w:t>
            </w:r>
          </w:p>
        </w:tc>
        <w:tc>
          <w:tcPr>
            <w:tcW w:w="5383"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敏史标志、过敏史、就诊日期时间、主诉、现病史、既往史、体格检查等，就诊类型（出诊，复诊）、处方分类、临床诊断、疾病名称、住院号、病区名称、病床号、病房号、医嘱类别代码、医嘱计划开始时间、医嘱计划结束时间、医嘱项目类型、医嘱项目、疾病类别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862"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25" w:type="dxa"/>
            <w:shd w:val="clear" w:color="auto" w:fill="auto"/>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病程记录信息</w:t>
            </w:r>
          </w:p>
        </w:tc>
        <w:tc>
          <w:tcPr>
            <w:tcW w:w="5383" w:type="dxa"/>
            <w:shd w:val="clear" w:color="auto" w:fill="auto"/>
            <w:vAlign w:val="center"/>
          </w:tcPr>
          <w:p>
            <w:pPr>
              <w:widowControl/>
              <w:ind w:firstLine="0" w:firstLineChars="0"/>
              <w:jc w:val="both"/>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病程记录类别、病程记录内容、治疗类别代码等</w:t>
            </w:r>
          </w:p>
        </w:tc>
      </w:tr>
    </w:tbl>
    <w:p>
      <w:pPr>
        <w:pStyle w:val="2"/>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黑体"/>
          <w:lang w:eastAsia="zh-CN"/>
        </w:rPr>
      </w:pPr>
      <w:r>
        <w:rPr>
          <w:rFonts w:hint="eastAsia" w:ascii="黑体" w:hAnsi="黑体" w:eastAsia="黑体" w:cs="黑体"/>
          <w:b w:val="0"/>
          <w:bCs w:val="0"/>
          <w:color w:val="000000"/>
          <w:szCs w:val="21"/>
          <w:lang w:bidi="ar"/>
        </w:rPr>
        <w:t>表</w:t>
      </w:r>
      <w:r>
        <w:rPr>
          <w:rFonts w:hint="eastAsia" w:ascii="黑体" w:hAnsi="黑体" w:eastAsia="黑体" w:cs="黑体"/>
          <w:b w:val="0"/>
          <w:bCs w:val="0"/>
          <w:color w:val="000000"/>
          <w:szCs w:val="21"/>
          <w:lang w:val="en-US" w:eastAsia="zh-CN" w:bidi="ar"/>
        </w:rPr>
        <w:t>A</w:t>
      </w:r>
      <w:r>
        <w:rPr>
          <w:rFonts w:hint="eastAsia" w:ascii="黑体" w:hAnsi="黑体" w:eastAsia="黑体" w:cs="黑体"/>
          <w:b w:val="0"/>
          <w:bCs w:val="0"/>
          <w:color w:val="000000"/>
          <w:szCs w:val="21"/>
          <w:lang w:bidi="ar"/>
        </w:rPr>
        <w:t>.1</w:t>
      </w:r>
      <w:r>
        <w:rPr>
          <w:rFonts w:hint="eastAsia" w:ascii="黑体" w:hAnsi="黑体" w:eastAsia="黑体" w:cs="黑体"/>
          <w:b w:val="0"/>
          <w:bCs w:val="0"/>
          <w:color w:val="000000"/>
          <w:szCs w:val="21"/>
          <w:lang w:val="en-US" w:eastAsia="zh-CN" w:bidi="ar"/>
        </w:rPr>
        <w:t xml:space="preserve"> </w:t>
      </w:r>
      <w:r>
        <w:rPr>
          <w:rFonts w:hint="eastAsia" w:ascii="黑体" w:hAnsi="黑体" w:eastAsia="黑体" w:cs="黑体"/>
          <w:b w:val="0"/>
          <w:bCs w:val="0"/>
          <w:color w:val="000000"/>
          <w:szCs w:val="21"/>
          <w:lang w:bidi="ar"/>
        </w:rPr>
        <w:t xml:space="preserve"> 医疗机构数据分类参考表</w:t>
      </w:r>
      <w:r>
        <w:rPr>
          <w:rFonts w:hint="eastAsia" w:ascii="宋体" w:hAnsi="宋体" w:eastAsia="宋体" w:cs="宋体"/>
          <w:b w:val="0"/>
          <w:bCs w:val="0"/>
          <w:color w:val="000000"/>
          <w:szCs w:val="21"/>
          <w:lang w:eastAsia="zh-CN" w:bidi="ar"/>
        </w:rPr>
        <w:t>（</w:t>
      </w:r>
      <w:r>
        <w:rPr>
          <w:rFonts w:hint="eastAsia" w:ascii="宋体" w:hAnsi="宋体" w:eastAsia="宋体" w:cs="宋体"/>
          <w:b w:val="0"/>
          <w:bCs w:val="0"/>
          <w:color w:val="000000"/>
          <w:szCs w:val="21"/>
          <w:lang w:val="en-US" w:eastAsia="zh-CN" w:bidi="ar"/>
        </w:rPr>
        <w:t>续</w:t>
      </w:r>
      <w:r>
        <w:rPr>
          <w:rFonts w:hint="eastAsia" w:ascii="宋体" w:hAnsi="宋体" w:eastAsia="宋体" w:cs="宋体"/>
          <w:b w:val="0"/>
          <w:bCs w:val="0"/>
          <w:color w:val="000000"/>
          <w:szCs w:val="21"/>
          <w:lang w:eastAsia="zh-CN" w:bidi="ar"/>
        </w:rPr>
        <w:t>）</w:t>
      </w:r>
    </w:p>
    <w:tbl>
      <w:tblPr>
        <w:tblStyle w:val="22"/>
        <w:tblW w:w="9071"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2050"/>
        <w:gridCol w:w="507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947" w:type="dxa"/>
            <w:tcBorders>
              <w:bottom w:val="single" w:color="auto" w:sz="8" w:space="0"/>
            </w:tcBorders>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一级类别</w:t>
            </w:r>
          </w:p>
        </w:tc>
        <w:tc>
          <w:tcPr>
            <w:tcW w:w="2050" w:type="dxa"/>
            <w:tcBorders>
              <w:bottom w:val="single" w:color="auto" w:sz="8"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二级类别</w:t>
            </w:r>
          </w:p>
        </w:tc>
        <w:tc>
          <w:tcPr>
            <w:tcW w:w="5074" w:type="dxa"/>
            <w:tcBorders>
              <w:bottom w:val="single" w:color="auto" w:sz="8"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内容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947" w:type="dxa"/>
            <w:vMerge w:val="restart"/>
            <w:tcBorders>
              <w:top w:val="single" w:color="auto" w:sz="8" w:space="0"/>
            </w:tcBorders>
            <w:vAlign w:val="center"/>
          </w:tcPr>
          <w:p>
            <w:pPr>
              <w:widowControl/>
              <w:ind w:firstLine="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医疗应用数据</w:t>
            </w:r>
          </w:p>
        </w:tc>
        <w:tc>
          <w:tcPr>
            <w:tcW w:w="2050" w:type="dxa"/>
            <w:vMerge w:val="restart"/>
            <w:tcBorders>
              <w:top w:val="single" w:color="auto" w:sz="8" w:space="0"/>
            </w:tcBorders>
            <w:shd w:val="clear" w:color="auto" w:fill="auto"/>
            <w:vAlign w:val="center"/>
          </w:tcPr>
          <w:p>
            <w:pPr>
              <w:widowControl/>
              <w:ind w:firstLine="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检查检验报告</w:t>
            </w:r>
          </w:p>
        </w:tc>
        <w:tc>
          <w:tcPr>
            <w:tcW w:w="5074" w:type="dxa"/>
            <w:tcBorders>
              <w:top w:val="single" w:color="auto" w:sz="8" w:space="0"/>
            </w:tcBorders>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检查报告单编号、科室名称、症状开始日期时间、症状停止日期时间、症状描述、操作标志、操作代码、检查部位、检测方法</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vMerge w:val="continue"/>
            <w:shd w:val="clear" w:color="auto" w:fill="auto"/>
            <w:vAlign w:val="center"/>
          </w:tcPr>
          <w:p>
            <w:pPr>
              <w:widowControl/>
              <w:ind w:firstLine="420"/>
              <w:jc w:val="center"/>
              <w:rPr>
                <w:rFonts w:hint="eastAsia" w:ascii="宋体" w:hAnsi="宋体" w:eastAsia="宋体" w:cs="宋体"/>
                <w:color w:val="000000"/>
                <w:kern w:val="0"/>
                <w:sz w:val="18"/>
                <w:szCs w:val="18"/>
              </w:rPr>
            </w:pP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检验报告单编号、检验申请机构、检验申请科室、检验方法名称、检验项目名称、检验类别、检验项目代码、检验结果代码、检验定量结果、样本采集部位、试管类别等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用药信息</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药物用法、药物使用-频率、药物使用-剂量单位、药物使用-次剂量、药物使用-总剂量、药物使用-途径代码、药物名称、药物剂型代码、中药类别代码、药物类型、药物名称代码、中药煎煮法代码等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手术记录信息</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术前诊断、术后诊断、手术开始日期时间、手术结束日期时间、手术/操作代码、手术名称、手术级别、手术目标部位名称、手术日期时间、介入物名称、手术体位代码、手术过程描述、手术标志、手术切口描述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其他医疗就诊信息</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住院次数、出院原因等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947" w:type="dxa"/>
            <w:vMerge w:val="restart"/>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医疗支付数据</w:t>
            </w: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交易信息</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付信息、交易金额、交易记录，交易时间、结算类别（自费、医保、商保等）、结算类别名称、交易流水号、发票信息、交易渠道（银行卡、医保、微信、支付宝等）、费用类型（挂号费、诊疗费、附加费等）、支付状态</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保险信息</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保险状态、保险金额等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Merge w:val="restart"/>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公共卫生数据</w:t>
            </w: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环境卫生数据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公共场所危害因素合格率、生活饮用水水质合格率、鼠密度、蜚蠊密度、蚊密度、蝇密度、孳生地阳性率、病媒生物密度控制水平等级、布雷图指数、消毒质量合格率、手卫生合格率、消毒效果评价等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传染病疫情数据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病名、发病人数、发病率、死亡人数、死亡率、发病数据排名、死亡数据排名等，发病类别、流行病学调查（接触史）</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疾病监测数据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慢性病分类、慢性病数据（肿瘤等）、人口学资料、病原体型别、毒力、耐药性变异情况、人群免疫水平的测定、动物宿主和媒介昆虫种群分布及病原体携带状况、传播动力学及其影响因素的调查、防治措施效果的评价、疫情预测、专题调查</w:t>
            </w:r>
            <w:r>
              <w:rPr>
                <w:rFonts w:hint="eastAsia" w:eastAsia="宋体" w:cs="宋体"/>
                <w:color w:val="000000"/>
                <w:kern w:val="0"/>
                <w:sz w:val="18"/>
                <w:szCs w:val="18"/>
                <w:lang w:eastAsia="zh-CN"/>
              </w:rPr>
              <w:t>（</w:t>
            </w:r>
            <w:r>
              <w:rPr>
                <w:rFonts w:hint="eastAsia" w:ascii="宋体" w:hAnsi="宋体" w:eastAsia="宋体" w:cs="宋体"/>
                <w:color w:val="000000"/>
                <w:kern w:val="0"/>
                <w:sz w:val="18"/>
                <w:szCs w:val="18"/>
              </w:rPr>
              <w:t>如暴发调查、漏报调查等</w:t>
            </w:r>
            <w:r>
              <w:rPr>
                <w:rFonts w:hint="eastAsia" w:eastAsia="宋体" w:cs="宋体"/>
                <w:color w:val="000000"/>
                <w:kern w:val="0"/>
                <w:sz w:val="18"/>
                <w:szCs w:val="18"/>
                <w:lang w:eastAsia="zh-CN"/>
              </w:rPr>
              <w:t>）</w:t>
            </w:r>
            <w:r>
              <w:rPr>
                <w:rFonts w:hint="eastAsia" w:ascii="宋体" w:hAnsi="宋体" w:eastAsia="宋体" w:cs="宋体"/>
                <w:color w:val="000000"/>
                <w:kern w:val="0"/>
                <w:sz w:val="18"/>
                <w:szCs w:val="18"/>
              </w:rPr>
              <w:t>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疾病预防数据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疫苗接种数据（疫苗代码、接种属性、接种剂次、接种部位、疫苗类型）、应接种人数、实接种人数、接种不良反应（异常反应）等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出生死亡数据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出生人数、出生率、死亡人数、死亡率、自然增长数、自然增长率、死亡原因、死亡日期等信息</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其他公共卫生数据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其他公共卫生数据</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Merge w:val="restart"/>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医学教育研究数据</w:t>
            </w: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医学教育宣传数据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医学教育、宣传等数据</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Merge w:val="continue"/>
            <w:vAlign w:val="center"/>
          </w:tcPr>
          <w:p>
            <w:pPr>
              <w:widowControl/>
              <w:ind w:firstLine="420"/>
              <w:jc w:val="center"/>
              <w:rPr>
                <w:rFonts w:hint="eastAsia" w:ascii="宋体" w:hAnsi="宋体" w:eastAsia="宋体" w:cs="宋体"/>
                <w:color w:val="000000"/>
                <w:kern w:val="0"/>
                <w:sz w:val="18"/>
                <w:szCs w:val="18"/>
              </w:rPr>
            </w:pP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医疗科研数据</w:t>
            </w:r>
          </w:p>
        </w:tc>
        <w:tc>
          <w:tcPr>
            <w:tcW w:w="5074" w:type="dxa"/>
            <w:shd w:val="clear" w:color="auto" w:fill="auto"/>
            <w:vAlign w:val="center"/>
          </w:tcPr>
          <w:p>
            <w:pPr>
              <w:widowControl/>
              <w:ind w:firstLine="0"/>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用于开展医疗研究的数据</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47" w:type="dxa"/>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其他数据</w:t>
            </w:r>
          </w:p>
        </w:tc>
        <w:tc>
          <w:tcPr>
            <w:tcW w:w="2050" w:type="dxa"/>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其他数据</w:t>
            </w:r>
          </w:p>
        </w:tc>
        <w:tc>
          <w:tcPr>
            <w:tcW w:w="5074" w:type="dxa"/>
            <w:shd w:val="clear" w:color="auto" w:fill="auto"/>
            <w:vAlign w:val="center"/>
          </w:tcPr>
          <w:p>
            <w:pPr>
              <w:widowControl/>
              <w:jc w:val="both"/>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其他数据</w:t>
            </w:r>
          </w:p>
        </w:tc>
      </w:tr>
    </w:tbl>
    <w:p>
      <w:pPr>
        <w:widowControl/>
        <w:ind w:firstLine="428"/>
        <w:jc w:val="left"/>
        <w:rPr>
          <w:rFonts w:ascii="黑体" w:hAnsi="黑体" w:eastAsia="黑体"/>
          <w:b/>
          <w:bCs/>
          <w:szCs w:val="21"/>
        </w:rPr>
        <w:sectPr>
          <w:pgSz w:w="11906" w:h="16838"/>
          <w:pgMar w:top="1417" w:right="1134" w:bottom="1134" w:left="1418" w:header="1417" w:footer="1134" w:gutter="0"/>
          <w:pgNumType w:fmt="decimal"/>
          <w:cols w:space="425" w:num="1"/>
          <w:docGrid w:type="lines" w:linePitch="312" w:charSpace="0"/>
        </w:sectPr>
      </w:pPr>
      <w:bookmarkStart w:id="120" w:name="_Toc169775923"/>
    </w:p>
    <w:p>
      <w:pPr>
        <w:pStyle w:val="7"/>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121" w:name="_Toc1259395819"/>
      <w:r>
        <w:rPr>
          <w:rFonts w:hint="eastAsia" w:ascii="黑体" w:hAnsi="黑体" w:eastAsia="黑体" w:cs="黑体"/>
          <w:sz w:val="21"/>
          <w:szCs w:val="21"/>
          <w:lang w:val="en-US" w:eastAsia="zh-CN"/>
        </w:rPr>
        <w:t>附  录  B</w:t>
      </w:r>
      <w:bookmarkEnd w:id="120"/>
      <w:bookmarkEnd w:id="121"/>
    </w:p>
    <w:p>
      <w:pPr>
        <w:jc w:val="center"/>
        <w:rPr>
          <w:rFonts w:hint="eastAsia" w:ascii="黑体" w:hAnsi="黑体" w:eastAsia="黑体" w:cs="黑体"/>
          <w:b w:val="0"/>
          <w:sz w:val="21"/>
          <w:szCs w:val="22"/>
        </w:rPr>
      </w:pPr>
      <w:bookmarkStart w:id="122" w:name="_Toc169775924"/>
      <w:bookmarkStart w:id="123" w:name="_Toc23688"/>
      <w:bookmarkStart w:id="124" w:name="_Toc1066705101"/>
      <w:r>
        <w:rPr>
          <w:rFonts w:hint="eastAsia" w:ascii="黑体" w:hAnsi="黑体" w:eastAsia="黑体" w:cs="黑体"/>
          <w:b w:val="0"/>
          <w:sz w:val="21"/>
          <w:szCs w:val="22"/>
          <w:lang w:eastAsia="zh-CN"/>
        </w:rPr>
        <w:t>（</w:t>
      </w:r>
      <w:r>
        <w:rPr>
          <w:rFonts w:hint="eastAsia" w:ascii="黑体" w:hAnsi="黑体" w:eastAsia="黑体" w:cs="黑体"/>
          <w:b w:val="0"/>
          <w:sz w:val="21"/>
          <w:szCs w:val="22"/>
        </w:rPr>
        <w:t>资料性</w:t>
      </w:r>
      <w:r>
        <w:rPr>
          <w:rFonts w:hint="eastAsia" w:ascii="黑体" w:hAnsi="黑体" w:eastAsia="黑体" w:cs="黑体"/>
          <w:b w:val="0"/>
          <w:sz w:val="21"/>
          <w:szCs w:val="22"/>
          <w:lang w:eastAsia="zh-CN"/>
        </w:rPr>
        <w:t>）</w:t>
      </w:r>
      <w:bookmarkEnd w:id="122"/>
      <w:bookmarkEnd w:id="123"/>
      <w:bookmarkEnd w:id="124"/>
    </w:p>
    <w:p>
      <w:pPr>
        <w:pStyle w:val="8"/>
        <w:adjustRightInd w:val="0"/>
        <w:snapToGrid w:val="0"/>
        <w:spacing w:after="283"/>
        <w:jc w:val="center"/>
        <w:outlineLvl w:val="0"/>
        <w:rPr>
          <w:rFonts w:hint="eastAsia" w:ascii="黑体" w:hAnsi="黑体" w:eastAsia="黑体" w:cstheme="minorBidi"/>
          <w:b w:val="0"/>
          <w:color w:val="000000"/>
          <w:sz w:val="21"/>
          <w:szCs w:val="21"/>
        </w:rPr>
      </w:pPr>
      <w:bookmarkStart w:id="125" w:name="_Toc15110"/>
      <w:bookmarkStart w:id="126" w:name="_Toc21442"/>
      <w:bookmarkStart w:id="127" w:name="_Toc919147351"/>
      <w:bookmarkStart w:id="128" w:name="_Toc169775925"/>
      <w:r>
        <w:rPr>
          <w:rFonts w:hint="eastAsia" w:ascii="黑体" w:hAnsi="黑体" w:eastAsia="黑体"/>
          <w:b w:val="0"/>
          <w:color w:val="000000"/>
          <w:sz w:val="21"/>
          <w:szCs w:val="21"/>
        </w:rPr>
        <w:t>医疗机构数据分类分级职责划分参考表</w:t>
      </w:r>
      <w:bookmarkEnd w:id="125"/>
      <w:bookmarkEnd w:id="126"/>
      <w:bookmarkEnd w:id="127"/>
      <w:bookmarkEnd w:id="128"/>
    </w:p>
    <w:p>
      <w:pPr>
        <w:pStyle w:val="2"/>
        <w:spacing w:before="0" w:after="0" w:line="240" w:lineRule="auto"/>
        <w:ind w:right="210" w:firstLine="420" w:firstLineChars="200"/>
        <w:jc w:val="left"/>
        <w:rPr>
          <w:rFonts w:hint="default" w:asciiTheme="minorHAnsi" w:hAnsiTheme="minorHAnsi" w:eastAsiaTheme="minorEastAsia"/>
          <w:b w:val="0"/>
          <w:sz w:val="21"/>
          <w:szCs w:val="22"/>
        </w:rPr>
      </w:pPr>
      <w:r>
        <w:rPr>
          <w:rFonts w:hint="eastAsia" w:asciiTheme="minorHAnsi" w:hAnsiTheme="minorHAnsi" w:eastAsiaTheme="minorEastAsia"/>
          <w:b w:val="0"/>
          <w:sz w:val="21"/>
          <w:szCs w:val="22"/>
        </w:rPr>
        <w:t>医疗机构数据分类分级职责划分参考表</w:t>
      </w:r>
      <w:r>
        <w:rPr>
          <w:rFonts w:hint="eastAsia"/>
          <w:b w:val="0"/>
          <w:sz w:val="21"/>
          <w:szCs w:val="22"/>
          <w:lang w:val="en-US" w:eastAsia="zh-CN"/>
        </w:rPr>
        <w:t>见表B.1。</w:t>
      </w:r>
    </w:p>
    <w:p>
      <w:pPr>
        <w:pStyle w:val="62"/>
        <w:numPr>
          <w:ilvl w:val="0"/>
          <w:numId w:val="0"/>
        </w:numPr>
        <w:rPr>
          <w:rFonts w:hint="eastAsia" w:ascii="黑体" w:hAnsi="Times New Roman" w:eastAsia="黑体" w:cs="Times New Roman"/>
          <w:b w:val="0"/>
          <w:sz w:val="21"/>
          <w:szCs w:val="20"/>
        </w:rPr>
      </w:pPr>
      <w:r>
        <w:rPr>
          <w:rFonts w:hint="eastAsia" w:ascii="黑体" w:hAnsi="黑体" w:eastAsia="黑体" w:cs="宋体"/>
          <w:color w:val="000000"/>
          <w:sz w:val="21"/>
          <w:szCs w:val="21"/>
          <w:lang w:val="en-US" w:eastAsia="zh-CN" w:bidi="ar"/>
        </w:rPr>
        <w:t>表</w:t>
      </w:r>
      <w:r>
        <w:rPr>
          <w:rFonts w:hint="eastAsia" w:hAnsi="黑体" w:cs="宋体"/>
          <w:color w:val="000000"/>
          <w:sz w:val="21"/>
          <w:szCs w:val="21"/>
          <w:lang w:val="en-US" w:eastAsia="zh-CN" w:bidi="ar"/>
        </w:rPr>
        <w:t>B</w:t>
      </w:r>
      <w:r>
        <w:rPr>
          <w:rFonts w:hint="eastAsia" w:ascii="黑体" w:hAnsi="黑体" w:eastAsia="黑体" w:cs="宋体"/>
          <w:color w:val="000000"/>
          <w:sz w:val="21"/>
          <w:szCs w:val="21"/>
          <w:lang w:val="en-US" w:eastAsia="zh-CN" w:bidi="ar"/>
        </w:rPr>
        <w:t>.1  医疗机构数据分类分级职责划分参考</w:t>
      </w:r>
      <w:r>
        <w:rPr>
          <w:rFonts w:hint="eastAsia" w:ascii="黑体" w:hAnsi="Times New Roman" w:eastAsia="黑体" w:cs="Times New Roman"/>
          <w:sz w:val="21"/>
          <w:lang w:val="en-US" w:eastAsia="zh-CN" w:bidi="ar-SA"/>
        </w:rPr>
        <w:t>表</w:t>
      </w:r>
    </w:p>
    <w:tbl>
      <w:tblPr>
        <w:tblStyle w:val="23"/>
        <w:tblW w:w="8504"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2327"/>
        <w:gridCol w:w="617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bottom w:val="single" w:color="auto" w:sz="8" w:space="0"/>
            </w:tcBorders>
          </w:tcPr>
          <w:p>
            <w:pPr>
              <w:spacing w:line="240" w:lineRule="auto"/>
              <w:ind w:firstLine="0"/>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角色</w:t>
            </w:r>
          </w:p>
        </w:tc>
        <w:tc>
          <w:tcPr>
            <w:tcW w:w="6404" w:type="dxa"/>
            <w:tcBorders>
              <w:bottom w:val="single" w:color="auto" w:sz="8" w:space="0"/>
            </w:tcBorders>
          </w:tcPr>
          <w:p>
            <w:pPr>
              <w:spacing w:line="240" w:lineRule="auto"/>
              <w:ind w:firstLine="0"/>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主要职责</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5" w:type="dxa"/>
            <w:tcBorders>
              <w:top w:val="single" w:color="auto" w:sz="8" w:space="0"/>
            </w:tcBorders>
            <w:vAlign w:val="center"/>
          </w:tcPr>
          <w:p>
            <w:pPr>
              <w:spacing w:line="240" w:lineRule="auto"/>
              <w:ind w:firstLine="0"/>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数据分类分级管理者</w:t>
            </w:r>
          </w:p>
        </w:tc>
        <w:tc>
          <w:tcPr>
            <w:tcW w:w="6404" w:type="dxa"/>
            <w:tcBorders>
              <w:top w:val="single" w:color="auto" w:sz="8" w:space="0"/>
            </w:tcBorders>
            <w:vAlign w:val="center"/>
          </w:tcPr>
          <w:p>
            <w:pPr>
              <w:spacing w:line="240" w:lineRule="auto"/>
              <w:ind w:firstLine="0"/>
              <w:jc w:val="left"/>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分类分级统筹管理、协调，重要/核心数据目录的编制和统一上报。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5" w:type="dxa"/>
            <w:vAlign w:val="center"/>
          </w:tcPr>
          <w:p>
            <w:pPr>
              <w:spacing w:line="240" w:lineRule="auto"/>
              <w:ind w:firstLine="0"/>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数据分类分级管理部门</w:t>
            </w:r>
          </w:p>
        </w:tc>
        <w:tc>
          <w:tcPr>
            <w:tcW w:w="6404" w:type="dxa"/>
            <w:vAlign w:val="center"/>
          </w:tcPr>
          <w:p>
            <w:pPr>
              <w:widowControl/>
              <w:spacing w:line="240" w:lineRule="auto"/>
              <w:ind w:firstLine="0"/>
              <w:jc w:val="left"/>
              <w:rPr>
                <w:rFonts w:ascii="宋体" w:hAnsi="宋体" w:eastAsia="宋体" w:cs="宋体"/>
                <w:b w:val="0"/>
                <w:bCs w:val="0"/>
                <w:color w:val="000000"/>
                <w:kern w:val="0"/>
                <w:sz w:val="18"/>
                <w:szCs w:val="18"/>
                <w:lang w:bidi="ar"/>
              </w:rPr>
            </w:pPr>
            <w:r>
              <w:rPr>
                <w:rFonts w:hint="eastAsia" w:ascii="宋体" w:hAnsi="宋体" w:eastAsia="宋体" w:cs="宋体"/>
                <w:b w:val="0"/>
                <w:bCs w:val="0"/>
                <w:color w:val="000000"/>
                <w:kern w:val="0"/>
                <w:sz w:val="18"/>
                <w:szCs w:val="18"/>
                <w:lang w:bidi="ar"/>
              </w:rPr>
              <w:t>主导分类分级流程、制度、规范的制定，定制数据分类分级工作的目标、计划，对执行部门的分类分级成果开展审核评价。</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5" w:type="dxa"/>
            <w:vAlign w:val="center"/>
          </w:tcPr>
          <w:p>
            <w:pPr>
              <w:spacing w:line="240" w:lineRule="auto"/>
              <w:ind w:firstLine="0"/>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数据分类分级执行部门</w:t>
            </w:r>
          </w:p>
        </w:tc>
        <w:tc>
          <w:tcPr>
            <w:tcW w:w="6404" w:type="dxa"/>
            <w:vAlign w:val="center"/>
          </w:tcPr>
          <w:p>
            <w:pPr>
              <w:widowControl/>
              <w:spacing w:line="240" w:lineRule="auto"/>
              <w:ind w:firstLine="0"/>
              <w:jc w:val="left"/>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依据管理部门制定的分类分级目标、计划、流程、制度以及分类分级规范开展分类分级工作，并将执行结果反馈至管理部门。</w:t>
            </w:r>
          </w:p>
        </w:tc>
      </w:tr>
    </w:tbl>
    <w:p>
      <w:pPr>
        <w:ind w:firstLine="420"/>
      </w:pPr>
    </w:p>
    <w:p>
      <w:pPr>
        <w:ind w:firstLine="420"/>
        <w:sectPr>
          <w:pgSz w:w="11906" w:h="16838"/>
          <w:pgMar w:top="1417" w:right="1134" w:bottom="1134" w:left="1418" w:header="1417" w:footer="1134" w:gutter="0"/>
          <w:pgNumType w:fmt="decimal"/>
          <w:cols w:space="425" w:num="1"/>
          <w:docGrid w:type="lines" w:linePitch="312" w:charSpace="0"/>
        </w:sectPr>
      </w:pPr>
    </w:p>
    <w:p>
      <w:pPr>
        <w:pStyle w:val="7"/>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129" w:name="_Toc169775926"/>
      <w:bookmarkStart w:id="130" w:name="_Toc1259655386"/>
      <w:r>
        <w:rPr>
          <w:rFonts w:hint="eastAsia" w:ascii="黑体" w:hAnsi="黑体" w:eastAsia="黑体" w:cs="黑体"/>
          <w:sz w:val="21"/>
          <w:szCs w:val="21"/>
          <w:lang w:val="en-US" w:eastAsia="zh-CN"/>
        </w:rPr>
        <w:t>附  录  C</w:t>
      </w:r>
      <w:bookmarkEnd w:id="129"/>
      <w:bookmarkEnd w:id="130"/>
    </w:p>
    <w:p>
      <w:pPr>
        <w:pStyle w:val="8"/>
        <w:snapToGrid w:val="0"/>
        <w:jc w:val="center"/>
        <w:outlineLvl w:val="0"/>
        <w:rPr>
          <w:rFonts w:hint="eastAsia" w:ascii="黑体" w:hAnsi="黑体" w:eastAsia="黑体" w:cs="黑体"/>
          <w:b w:val="0"/>
          <w:sz w:val="21"/>
          <w:szCs w:val="21"/>
        </w:rPr>
      </w:pPr>
      <w:bookmarkStart w:id="131" w:name="_Toc169775927"/>
      <w:bookmarkStart w:id="132" w:name="_Toc21256"/>
      <w:bookmarkStart w:id="133" w:name="_Toc28374"/>
      <w:bookmarkStart w:id="134" w:name="_Toc1134280376"/>
      <w:r>
        <w:rPr>
          <w:rFonts w:hint="eastAsia" w:ascii="黑体" w:hAnsi="黑体" w:eastAsia="黑体" w:cs="黑体"/>
          <w:b w:val="0"/>
          <w:sz w:val="21"/>
          <w:szCs w:val="21"/>
          <w:lang w:eastAsia="zh-CN"/>
        </w:rPr>
        <w:t>（</w:t>
      </w:r>
      <w:r>
        <w:rPr>
          <w:rFonts w:hint="eastAsia" w:ascii="黑体" w:hAnsi="黑体" w:eastAsia="黑体" w:cs="黑体"/>
          <w:b w:val="0"/>
          <w:sz w:val="21"/>
          <w:szCs w:val="21"/>
        </w:rPr>
        <w:t>资料性</w:t>
      </w:r>
      <w:r>
        <w:rPr>
          <w:rFonts w:hint="eastAsia" w:ascii="黑体" w:hAnsi="黑体" w:eastAsia="黑体" w:cs="黑体"/>
          <w:b w:val="0"/>
          <w:sz w:val="21"/>
          <w:szCs w:val="21"/>
          <w:lang w:eastAsia="zh-CN"/>
        </w:rPr>
        <w:t>）</w:t>
      </w:r>
      <w:bookmarkEnd w:id="131"/>
      <w:bookmarkEnd w:id="132"/>
      <w:bookmarkEnd w:id="133"/>
      <w:bookmarkEnd w:id="134"/>
    </w:p>
    <w:p>
      <w:pPr>
        <w:pStyle w:val="8"/>
        <w:adjustRightInd w:val="0"/>
        <w:snapToGrid w:val="0"/>
        <w:spacing w:after="283"/>
        <w:jc w:val="center"/>
        <w:outlineLvl w:val="0"/>
        <w:rPr>
          <w:rFonts w:hint="eastAsia" w:ascii="黑体" w:hAnsi="黑体" w:eastAsia="黑体" w:cs="黑体"/>
          <w:b w:val="0"/>
          <w:sz w:val="21"/>
          <w:szCs w:val="21"/>
        </w:rPr>
      </w:pPr>
      <w:bookmarkStart w:id="135" w:name="_Toc637945013"/>
      <w:bookmarkStart w:id="136" w:name="_Toc19524"/>
      <w:bookmarkStart w:id="137" w:name="_Toc169775928"/>
      <w:bookmarkStart w:id="138" w:name="_Toc18358"/>
      <w:r>
        <w:rPr>
          <w:rFonts w:hint="eastAsia" w:ascii="黑体" w:hAnsi="黑体" w:eastAsia="黑体" w:cs="黑体"/>
          <w:b w:val="0"/>
          <w:sz w:val="21"/>
          <w:szCs w:val="21"/>
        </w:rPr>
        <w:t>数据目录上报模板</w:t>
      </w:r>
      <w:bookmarkEnd w:id="135"/>
      <w:bookmarkEnd w:id="136"/>
      <w:bookmarkEnd w:id="137"/>
      <w:bookmarkEnd w:id="138"/>
    </w:p>
    <w:p>
      <w:pPr>
        <w:ind w:firstLineChars="200"/>
        <w:rPr>
          <w:rFonts w:hint="default" w:asciiTheme="minorHAnsi" w:hAnsiTheme="minorHAnsi" w:eastAsiaTheme="minorEastAsia"/>
          <w:b w:val="0"/>
          <w:sz w:val="21"/>
          <w:szCs w:val="22"/>
        </w:rPr>
      </w:pPr>
      <w:r>
        <w:rPr>
          <w:rFonts w:hint="eastAsia"/>
          <w:b w:val="0"/>
          <w:sz w:val="21"/>
          <w:szCs w:val="22"/>
          <w:lang w:val="en-US" w:eastAsia="zh-CN"/>
        </w:rPr>
        <w:t>数据目录上报模板见表C.1。</w:t>
      </w:r>
    </w:p>
    <w:p>
      <w:pPr>
        <w:spacing w:line="360" w:lineRule="auto"/>
        <w:jc w:val="center"/>
        <w:rPr>
          <w:rFonts w:hint="eastAsia" w:ascii="黑体" w:hAnsi="黑体" w:eastAsia="黑体" w:cs="宋体"/>
          <w:b w:val="0"/>
          <w:color w:val="000000"/>
          <w:kern w:val="0"/>
          <w:sz w:val="21"/>
          <w:szCs w:val="21"/>
          <w:lang w:bidi="ar"/>
        </w:rPr>
      </w:pPr>
      <w:r>
        <w:rPr>
          <w:rFonts w:hint="eastAsia" w:ascii="黑体" w:hAnsi="黑体" w:eastAsia="黑体" w:cs="宋体"/>
          <w:color w:val="000000"/>
          <w:kern w:val="0"/>
          <w:sz w:val="21"/>
          <w:szCs w:val="21"/>
          <w:lang w:val="en-US" w:eastAsia="zh-CN" w:bidi="ar"/>
        </w:rPr>
        <w:t>表C.1  数据目录上报模板</w:t>
      </w:r>
    </w:p>
    <w:tbl>
      <w:tblPr>
        <w:tblStyle w:val="23"/>
        <w:tblpPr w:leftFromText="180" w:rightFromText="180" w:vertAnchor="text" w:horzAnchor="page" w:tblpX="1418" w:tblpY="27"/>
        <w:tblOverlap w:val="never"/>
        <w:tblW w:w="9071"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57" w:type="dxa"/>
          <w:bottom w:w="0" w:type="dxa"/>
          <w:right w:w="57" w:type="dxa"/>
        </w:tblCellMar>
      </w:tblPr>
      <w:tblGrid>
        <w:gridCol w:w="292"/>
        <w:gridCol w:w="292"/>
        <w:gridCol w:w="292"/>
        <w:gridCol w:w="292"/>
        <w:gridCol w:w="292"/>
        <w:gridCol w:w="292"/>
        <w:gridCol w:w="292"/>
        <w:gridCol w:w="292"/>
        <w:gridCol w:w="293"/>
        <w:gridCol w:w="148"/>
        <w:gridCol w:w="146"/>
        <w:gridCol w:w="431"/>
        <w:gridCol w:w="431"/>
        <w:gridCol w:w="293"/>
        <w:gridCol w:w="293"/>
        <w:gridCol w:w="293"/>
        <w:gridCol w:w="293"/>
        <w:gridCol w:w="293"/>
        <w:gridCol w:w="293"/>
        <w:gridCol w:w="293"/>
        <w:gridCol w:w="293"/>
        <w:gridCol w:w="294"/>
        <w:gridCol w:w="149"/>
        <w:gridCol w:w="147"/>
        <w:gridCol w:w="294"/>
        <w:gridCol w:w="294"/>
        <w:gridCol w:w="294"/>
        <w:gridCol w:w="294"/>
        <w:gridCol w:w="294"/>
        <w:gridCol w:w="294"/>
        <w:gridCol w:w="294"/>
        <w:gridCol w:w="29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9071" w:type="dxa"/>
            <w:gridSpan w:val="32"/>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一、责任主体基本情况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类别</w:t>
            </w:r>
          </w:p>
        </w:tc>
        <w:tc>
          <w:tcPr>
            <w:tcW w:w="3795" w:type="dxa"/>
            <w:gridSpan w:val="13"/>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基本内容</w:t>
            </w:r>
          </w:p>
        </w:tc>
        <w:tc>
          <w:tcPr>
            <w:tcW w:w="2499" w:type="dxa"/>
            <w:gridSpan w:val="9"/>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备注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责任主体名称</w:t>
            </w:r>
          </w:p>
        </w:tc>
        <w:tc>
          <w:tcPr>
            <w:tcW w:w="3795" w:type="dxa"/>
            <w:gridSpan w:val="13"/>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责任主体性质</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单位注册地（省/市）</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办公所在地（详细地址）</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统一社会信用代码</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经营范围</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主营业务</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数据安全负责人姓名</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数据安全负责人职务</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777" w:type="dxa"/>
            <w:gridSpan w:val="1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数据安全负责人联系方式</w:t>
            </w:r>
          </w:p>
        </w:tc>
        <w:tc>
          <w:tcPr>
            <w:tcW w:w="3795" w:type="dxa"/>
            <w:gridSpan w:val="13"/>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c>
          <w:tcPr>
            <w:tcW w:w="2499" w:type="dxa"/>
            <w:gridSpan w:val="9"/>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9071" w:type="dxa"/>
            <w:gridSpan w:val="32"/>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二、重要数据目录基本情况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321" w:hRule="atLeast"/>
        </w:trPr>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spacing w:line="40" w:lineRule="atLeast"/>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序号</w:t>
            </w:r>
          </w:p>
        </w:tc>
        <w:tc>
          <w:tcPr>
            <w:tcW w:w="4372" w:type="dxa"/>
            <w:gridSpan w:val="15"/>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数据基本情况</w:t>
            </w:r>
          </w:p>
        </w:tc>
        <w:tc>
          <w:tcPr>
            <w:tcW w:w="1759" w:type="dxa"/>
            <w:gridSpan w:val="6"/>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数据处理情况</w:t>
            </w:r>
          </w:p>
        </w:tc>
        <w:tc>
          <w:tcPr>
            <w:tcW w:w="2060" w:type="dxa"/>
            <w:gridSpan w:val="8"/>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数据安全情况</w:t>
            </w:r>
          </w:p>
        </w:tc>
        <w:tc>
          <w:tcPr>
            <w:tcW w:w="294"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是否建议纳入核心数据目录*</w:t>
            </w:r>
          </w:p>
        </w:tc>
        <w:tc>
          <w:tcPr>
            <w:tcW w:w="294"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备注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784" w:hRule="atLeast"/>
        </w:trPr>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据名称*</w:t>
            </w:r>
          </w:p>
        </w:tc>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依</w:t>
            </w:r>
            <w:r>
              <w:rPr>
                <w:rFonts w:hint="eastAsia" w:ascii="宋体" w:hAnsi="宋体" w:eastAsia="宋体" w:cs="宋体"/>
                <w:b w:val="0"/>
                <w:bCs w:val="0"/>
                <w:sz w:val="18"/>
                <w:szCs w:val="18"/>
                <w:lang w:val="en-US" w:eastAsia="zh-CN"/>
              </w:rPr>
              <w:t>据</w:t>
            </w:r>
            <w:r>
              <w:rPr>
                <w:rFonts w:hint="eastAsia" w:ascii="宋体" w:hAnsi="宋体" w:eastAsia="宋体" w:cs="宋体"/>
                <w:b w:val="0"/>
                <w:bCs w:val="0"/>
                <w:sz w:val="18"/>
                <w:szCs w:val="18"/>
              </w:rPr>
              <w:t>数据分类分级规范*</w:t>
            </w:r>
          </w:p>
        </w:tc>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据一级分类*</w:t>
            </w:r>
          </w:p>
        </w:tc>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据二级分类*</w:t>
            </w:r>
          </w:p>
        </w:tc>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据三级分类</w:t>
            </w:r>
          </w:p>
        </w:tc>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据四级分类</w:t>
            </w:r>
          </w:p>
        </w:tc>
        <w:tc>
          <w:tcPr>
            <w:tcW w:w="292"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color w:val="000000" w:themeColor="text1"/>
                <w:sz w:val="18"/>
                <w:szCs w:val="18"/>
                <w14:textFill>
                  <w14:solidFill>
                    <w14:schemeClr w14:val="tx1"/>
                  </w14:solidFill>
                </w14:textFill>
              </w:rPr>
              <w:t>建议</w:t>
            </w:r>
            <w:r>
              <w:rPr>
                <w:rFonts w:hint="eastAsia" w:ascii="宋体" w:hAnsi="宋体" w:eastAsia="宋体" w:cs="宋体"/>
                <w:b w:val="0"/>
                <w:bCs w:val="0"/>
                <w:sz w:val="18"/>
                <w:szCs w:val="18"/>
              </w:rPr>
              <w:t>数据级别*</w:t>
            </w:r>
          </w:p>
        </w:tc>
        <w:tc>
          <w:tcPr>
            <w:tcW w:w="293"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据载体*</w:t>
            </w:r>
          </w:p>
        </w:tc>
        <w:tc>
          <w:tcPr>
            <w:tcW w:w="294" w:type="dxa"/>
            <w:gridSpan w:val="2"/>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据来源*</w:t>
            </w:r>
          </w:p>
        </w:tc>
        <w:tc>
          <w:tcPr>
            <w:tcW w:w="431"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数据量</w:t>
            </w:r>
            <w:r>
              <w:rPr>
                <w:rFonts w:hint="eastAsia" w:eastAsia="宋体" w:cs="宋体"/>
                <w:b w:val="0"/>
                <w:bCs w:val="0"/>
                <w:sz w:val="18"/>
                <w:szCs w:val="18"/>
                <w:lang w:eastAsia="zh-CN"/>
              </w:rPr>
              <w:t>（</w:t>
            </w:r>
            <w:r>
              <w:rPr>
                <w:rFonts w:hint="eastAsia" w:ascii="宋体" w:hAnsi="宋体" w:eastAsia="宋体" w:cs="宋体"/>
                <w:b w:val="0"/>
                <w:bCs w:val="0"/>
                <w:sz w:val="18"/>
                <w:szCs w:val="18"/>
              </w:rPr>
              <w:t>单位：GB</w:t>
            </w:r>
            <w:r>
              <w:rPr>
                <w:rFonts w:hint="eastAsia" w:eastAsia="宋体" w:cs="宋体"/>
                <w:b w:val="0"/>
                <w:bCs w:val="0"/>
                <w:sz w:val="18"/>
                <w:szCs w:val="18"/>
                <w:lang w:eastAsia="zh-CN"/>
              </w:rPr>
              <w:t>）</w:t>
            </w:r>
            <w:r>
              <w:rPr>
                <w:rFonts w:hint="eastAsia" w:ascii="宋体" w:hAnsi="宋体" w:eastAsia="宋体" w:cs="宋体"/>
                <w:b w:val="0"/>
                <w:bCs w:val="0"/>
                <w:sz w:val="18"/>
                <w:szCs w:val="18"/>
              </w:rPr>
              <w:t>*</w:t>
            </w:r>
          </w:p>
        </w:tc>
        <w:tc>
          <w:tcPr>
            <w:tcW w:w="431"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数据量</w:t>
            </w:r>
            <w:r>
              <w:rPr>
                <w:rFonts w:hint="eastAsia" w:eastAsia="宋体" w:cs="宋体"/>
                <w:b w:val="0"/>
                <w:bCs w:val="0"/>
                <w:sz w:val="18"/>
                <w:szCs w:val="18"/>
                <w:lang w:eastAsia="zh-CN"/>
              </w:rPr>
              <w:t>（</w:t>
            </w:r>
            <w:r>
              <w:rPr>
                <w:rFonts w:hint="eastAsia" w:ascii="宋体" w:hAnsi="宋体" w:eastAsia="宋体" w:cs="宋体"/>
                <w:b w:val="0"/>
                <w:bCs w:val="0"/>
                <w:sz w:val="18"/>
                <w:szCs w:val="18"/>
              </w:rPr>
              <w:t>单位：条</w:t>
            </w:r>
            <w:r>
              <w:rPr>
                <w:rFonts w:hint="eastAsia" w:eastAsia="宋体" w:cs="宋体"/>
                <w:b w:val="0"/>
                <w:bCs w:val="0"/>
                <w:sz w:val="18"/>
                <w:szCs w:val="18"/>
                <w:lang w:eastAsia="zh-CN"/>
              </w:rPr>
              <w:t>）</w:t>
            </w:r>
            <w:r>
              <w:rPr>
                <w:rFonts w:hint="eastAsia" w:ascii="宋体" w:hAnsi="宋体" w:eastAsia="宋体" w:cs="宋体"/>
                <w:b w:val="0"/>
                <w:bCs w:val="0"/>
                <w:sz w:val="18"/>
                <w:szCs w:val="18"/>
              </w:rPr>
              <w:t>*</w:t>
            </w:r>
          </w:p>
        </w:tc>
        <w:tc>
          <w:tcPr>
            <w:tcW w:w="586" w:type="dxa"/>
            <w:gridSpan w:val="2"/>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rPr>
            </w:pPr>
            <w:r>
              <w:rPr>
                <w:rFonts w:hint="eastAsia"/>
                <w:sz w:val="18"/>
                <w:szCs w:val="18"/>
              </w:rPr>
              <w:t>数据覆盖情况</w:t>
            </w:r>
          </w:p>
        </w:tc>
        <w:tc>
          <w:tcPr>
            <w:tcW w:w="293"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据精度</w:t>
            </w:r>
          </w:p>
        </w:tc>
        <w:tc>
          <w:tcPr>
            <w:tcW w:w="293"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数</w:t>
            </w:r>
            <w:r>
              <w:rPr>
                <w:rFonts w:hint="eastAsia" w:ascii="宋体" w:hAnsi="宋体" w:eastAsia="宋体" w:cs="宋体"/>
                <w:b w:val="0"/>
                <w:bCs w:val="0"/>
                <w:sz w:val="18"/>
                <w:szCs w:val="18"/>
              </w:rPr>
              <w:t>据处理目的*</w:t>
            </w:r>
          </w:p>
        </w:tc>
        <w:tc>
          <w:tcPr>
            <w:tcW w:w="879" w:type="dxa"/>
            <w:gridSpan w:val="3"/>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数据出境情况</w:t>
            </w:r>
          </w:p>
        </w:tc>
        <w:tc>
          <w:tcPr>
            <w:tcW w:w="293"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是否涉及跨主体流动*</w:t>
            </w:r>
          </w:p>
        </w:tc>
        <w:tc>
          <w:tcPr>
            <w:tcW w:w="294"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是否为涉外数据*</w:t>
            </w:r>
          </w:p>
        </w:tc>
        <w:tc>
          <w:tcPr>
            <w:tcW w:w="296" w:type="dxa"/>
            <w:gridSpan w:val="2"/>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信息系统名称*</w:t>
            </w:r>
          </w:p>
        </w:tc>
        <w:tc>
          <w:tcPr>
            <w:tcW w:w="294" w:type="dxa"/>
            <w:vMerge w:val="restart"/>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是否为关键信息基础设施*</w:t>
            </w:r>
          </w:p>
        </w:tc>
        <w:tc>
          <w:tcPr>
            <w:tcW w:w="1470" w:type="dxa"/>
            <w:gridSpan w:val="5"/>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数据安全风险</w:t>
            </w:r>
          </w:p>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评估情况</w:t>
            </w:r>
          </w:p>
        </w:tc>
        <w:tc>
          <w:tcPr>
            <w:tcW w:w="294"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c>
          <w:tcPr>
            <w:tcW w:w="294"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146" w:hRule="atLeast"/>
        </w:trPr>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2"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3"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4" w:type="dxa"/>
            <w:gridSpan w:val="2"/>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431"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431"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lang w:val="en-US" w:eastAsia="zh-CN"/>
              </w:rPr>
              <w:t>覆</w:t>
            </w:r>
            <w:r>
              <w:rPr>
                <w:rFonts w:hint="eastAsia" w:ascii="宋体" w:hAnsi="宋体" w:eastAsia="宋体" w:cs="宋体"/>
                <w:b w:val="0"/>
                <w:bCs w:val="0"/>
                <w:sz w:val="18"/>
                <w:szCs w:val="18"/>
              </w:rPr>
              <w:t>盖类型*</w:t>
            </w: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lang w:val="en-US" w:eastAsia="zh-CN"/>
              </w:rPr>
              <w:t>覆</w:t>
            </w:r>
            <w:r>
              <w:rPr>
                <w:rFonts w:hint="eastAsia" w:ascii="宋体" w:hAnsi="宋体" w:eastAsia="宋体" w:cs="宋体"/>
                <w:b w:val="0"/>
                <w:bCs w:val="0"/>
                <w:sz w:val="18"/>
                <w:szCs w:val="18"/>
              </w:rPr>
              <w:t>盖占比*</w:t>
            </w:r>
          </w:p>
        </w:tc>
        <w:tc>
          <w:tcPr>
            <w:tcW w:w="293"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3"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是否出境*</w:t>
            </w: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是否开展数据出境安全评估*</w:t>
            </w: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数据出境安全评估结果</w:t>
            </w:r>
          </w:p>
        </w:tc>
        <w:tc>
          <w:tcPr>
            <w:tcW w:w="293"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4"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6" w:type="dxa"/>
            <w:gridSpan w:val="2"/>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4"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是否进行数据安全风</w:t>
            </w:r>
            <w:r>
              <w:rPr>
                <w:rFonts w:hint="eastAsia" w:eastAsia="宋体" w:cs="宋体"/>
                <w:b w:val="0"/>
                <w:bCs w:val="0"/>
                <w:sz w:val="18"/>
                <w:szCs w:val="18"/>
                <w:lang w:val="en-US" w:eastAsia="zh-CN"/>
              </w:rPr>
              <w:t>险评</w:t>
            </w:r>
            <w:r>
              <w:rPr>
                <w:rFonts w:hint="eastAsia" w:ascii="宋体" w:hAnsi="宋体" w:eastAsia="宋体" w:cs="宋体"/>
                <w:b w:val="0"/>
                <w:bCs w:val="0"/>
                <w:sz w:val="18"/>
                <w:szCs w:val="18"/>
              </w:rPr>
              <w:t>估*</w:t>
            </w: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评</w:t>
            </w:r>
            <w:r>
              <w:rPr>
                <w:rFonts w:hint="eastAsia" w:ascii="宋体" w:hAnsi="宋体" w:eastAsia="宋体" w:cs="宋体"/>
                <w:b w:val="0"/>
                <w:bCs w:val="0"/>
                <w:sz w:val="18"/>
                <w:szCs w:val="18"/>
              </w:rPr>
              <w:t>估机构</w:t>
            </w: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评</w:t>
            </w:r>
            <w:r>
              <w:rPr>
                <w:rFonts w:hint="eastAsia" w:ascii="宋体" w:hAnsi="宋体" w:eastAsia="宋体" w:cs="宋体"/>
                <w:b w:val="0"/>
                <w:bCs w:val="0"/>
                <w:sz w:val="18"/>
                <w:szCs w:val="18"/>
              </w:rPr>
              <w:t>估规范</w:t>
            </w: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评估时间</w:t>
            </w: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eastAsia="宋体" w:cs="宋体"/>
                <w:b w:val="0"/>
                <w:bCs w:val="0"/>
                <w:sz w:val="18"/>
                <w:szCs w:val="18"/>
                <w:lang w:val="en-US" w:eastAsia="zh-CN"/>
              </w:rPr>
              <w:t>评</w:t>
            </w:r>
            <w:r>
              <w:rPr>
                <w:rFonts w:hint="eastAsia" w:ascii="宋体" w:hAnsi="宋体" w:eastAsia="宋体" w:cs="宋体"/>
                <w:b w:val="0"/>
                <w:bCs w:val="0"/>
                <w:sz w:val="18"/>
                <w:szCs w:val="18"/>
              </w:rPr>
              <w:t>估结论</w:t>
            </w:r>
          </w:p>
        </w:tc>
        <w:tc>
          <w:tcPr>
            <w:tcW w:w="294"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c>
          <w:tcPr>
            <w:tcW w:w="294" w:type="dxa"/>
            <w:vMerge w:val="continue"/>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146" w:hRule="atLeast"/>
        </w:trPr>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1</w:t>
            </w: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gridSpan w:val="2"/>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431"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431"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6" w:type="dxa"/>
            <w:gridSpan w:val="2"/>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57" w:type="dxa"/>
            <w:bottom w:w="0" w:type="dxa"/>
            <w:right w:w="57" w:type="dxa"/>
          </w:tblCellMar>
        </w:tblPrEx>
        <w:trPr>
          <w:trHeight w:val="61" w:hRule="atLeast"/>
        </w:trPr>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2</w:t>
            </w: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2"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gridSpan w:val="2"/>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431"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431"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3"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6" w:type="dxa"/>
            <w:gridSpan w:val="2"/>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contextualSpacing/>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c>
          <w:tcPr>
            <w:tcW w:w="29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val="0"/>
                <w:bCs w:val="0"/>
                <w:sz w:val="18"/>
                <w:szCs w:val="18"/>
              </w:rPr>
            </w:pPr>
          </w:p>
        </w:tc>
      </w:tr>
    </w:tbl>
    <w:p>
      <w:pPr>
        <w:adjustRightInd w:val="0"/>
        <w:snapToGrid w:val="0"/>
        <w:ind w:firstLine="360" w:firstLineChars="200"/>
        <w:rPr>
          <w:rFonts w:hint="eastAsia" w:ascii="Times New Roman" w:hAnsi="Times New Roman" w:eastAsiaTheme="minorEastAsia"/>
          <w:sz w:val="18"/>
          <w:szCs w:val="18"/>
          <w:lang w:eastAsia="zh-CN"/>
        </w:rPr>
      </w:pPr>
      <w:r>
        <w:rPr>
          <w:rFonts w:hint="eastAsia" w:ascii="黑体" w:hAnsi="黑体" w:eastAsia="黑体" w:cs="黑体"/>
          <w:sz w:val="18"/>
          <w:szCs w:val="18"/>
          <w:lang w:bidi="ar"/>
        </w:rPr>
        <w:t>注</w:t>
      </w:r>
      <w:r>
        <w:rPr>
          <w:rFonts w:hint="eastAsia" w:ascii="黑体" w:hAnsi="黑体" w:eastAsia="黑体" w:cs="黑体"/>
          <w:sz w:val="18"/>
          <w:szCs w:val="18"/>
          <w:lang w:val="en-US" w:eastAsia="zh-CN" w:bidi="ar"/>
        </w:rPr>
        <w:t>1</w:t>
      </w:r>
      <w:r>
        <w:rPr>
          <w:rFonts w:hint="eastAsia" w:ascii="黑体" w:hAnsi="黑体" w:eastAsia="黑体" w:cs="黑体"/>
          <w:sz w:val="18"/>
          <w:szCs w:val="18"/>
          <w:lang w:bidi="ar"/>
        </w:rPr>
        <w:t>：</w:t>
      </w:r>
      <w:r>
        <w:rPr>
          <w:rFonts w:ascii="Times New Roman" w:hAnsi="Times New Roman"/>
          <w:sz w:val="18"/>
          <w:szCs w:val="18"/>
          <w:lang w:bidi="ar"/>
        </w:rPr>
        <w:t>*号为必填内容</w:t>
      </w:r>
      <w:r>
        <w:rPr>
          <w:rFonts w:hint="eastAsia" w:ascii="Times New Roman" w:hAnsi="Times New Roman"/>
          <w:sz w:val="18"/>
          <w:szCs w:val="18"/>
          <w:lang w:eastAsia="zh-CN" w:bidi="ar"/>
        </w:rPr>
        <w:t>。</w:t>
      </w:r>
    </w:p>
    <w:p>
      <w:pPr>
        <w:adjustRightInd w:val="0"/>
        <w:snapToGrid w:val="0"/>
        <w:ind w:firstLine="360" w:firstLineChars="200"/>
        <w:rPr>
          <w:rFonts w:ascii="Times New Roman" w:hAnsi="Times New Roman"/>
          <w:sz w:val="16"/>
          <w:szCs w:val="16"/>
        </w:rPr>
      </w:pPr>
      <w:r>
        <w:rPr>
          <w:rFonts w:hint="eastAsia" w:ascii="黑体" w:hAnsi="黑体" w:eastAsia="黑体" w:cs="黑体"/>
          <w:sz w:val="18"/>
          <w:szCs w:val="18"/>
          <w:lang w:bidi="ar"/>
        </w:rPr>
        <w:t>注</w:t>
      </w:r>
      <w:r>
        <w:rPr>
          <w:rFonts w:hint="eastAsia" w:ascii="黑体" w:hAnsi="黑体" w:eastAsia="黑体" w:cs="黑体"/>
          <w:sz w:val="18"/>
          <w:szCs w:val="18"/>
          <w:lang w:val="en-US" w:eastAsia="zh-CN" w:bidi="ar"/>
        </w:rPr>
        <w:t>2</w:t>
      </w:r>
      <w:r>
        <w:rPr>
          <w:rFonts w:hint="eastAsia" w:ascii="黑体" w:hAnsi="黑体" w:eastAsia="黑体" w:cs="黑体"/>
          <w:sz w:val="18"/>
          <w:szCs w:val="18"/>
          <w:lang w:bidi="ar"/>
        </w:rPr>
        <w:t>：</w:t>
      </w:r>
      <w:r>
        <w:rPr>
          <w:rFonts w:ascii="Times New Roman" w:hAnsi="Times New Roman"/>
          <w:sz w:val="18"/>
          <w:szCs w:val="18"/>
          <w:lang w:bidi="ar"/>
        </w:rPr>
        <w:t>数据</w:t>
      </w:r>
      <w:r>
        <w:rPr>
          <w:rFonts w:hint="eastAsia" w:ascii="Times New Roman" w:hAnsi="Times New Roman"/>
          <w:sz w:val="18"/>
          <w:szCs w:val="18"/>
          <w:lang w:bidi="ar"/>
        </w:rPr>
        <w:t>目录</w:t>
      </w:r>
      <w:r>
        <w:rPr>
          <w:rFonts w:ascii="Times New Roman" w:hAnsi="Times New Roman"/>
          <w:sz w:val="18"/>
          <w:szCs w:val="18"/>
          <w:lang w:bidi="ar"/>
        </w:rPr>
        <w:t>台账经确认形成核心和重要数据目录后，“数据基本情况”中的“建议数据级别”调整为“数据级别”</w:t>
      </w:r>
      <w:r>
        <w:rPr>
          <w:rFonts w:hint="eastAsia" w:ascii="Times New Roman" w:hAnsi="Times New Roman"/>
          <w:sz w:val="18"/>
          <w:szCs w:val="18"/>
          <w:lang w:bidi="ar"/>
        </w:rPr>
        <w:t>。</w:t>
      </w:r>
    </w:p>
    <w:p>
      <w:pPr>
        <w:widowControl/>
        <w:ind w:firstLine="420"/>
        <w:jc w:val="left"/>
        <w:sectPr>
          <w:pgSz w:w="11906" w:h="16838"/>
          <w:pgMar w:top="1417" w:right="1134" w:bottom="1134" w:left="1418" w:header="1417" w:footer="1134" w:gutter="0"/>
          <w:pgNumType w:fmt="decimal"/>
          <w:cols w:space="425" w:num="1"/>
          <w:docGrid w:type="lines" w:linePitch="312" w:charSpace="0"/>
        </w:sectPr>
      </w:pPr>
    </w:p>
    <w:p>
      <w:pPr>
        <w:pStyle w:val="7"/>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139" w:name="_Toc1703467667"/>
      <w:bookmarkStart w:id="140" w:name="_Toc169775929"/>
      <w:r>
        <w:rPr>
          <w:rFonts w:hint="eastAsia" w:ascii="黑体" w:hAnsi="黑体" w:eastAsia="黑体" w:cs="黑体"/>
          <w:sz w:val="21"/>
          <w:szCs w:val="21"/>
          <w:lang w:val="en-US" w:eastAsia="zh-CN"/>
        </w:rPr>
        <w:t>附  录  D</w:t>
      </w:r>
      <w:bookmarkEnd w:id="139"/>
      <w:bookmarkEnd w:id="140"/>
    </w:p>
    <w:p>
      <w:pPr>
        <w:jc w:val="center"/>
        <w:rPr>
          <w:rFonts w:hint="eastAsia" w:ascii="黑体" w:hAnsi="黑体" w:eastAsia="黑体" w:cs="黑体"/>
          <w:b w:val="0"/>
          <w:sz w:val="21"/>
          <w:szCs w:val="22"/>
        </w:rPr>
      </w:pPr>
      <w:bookmarkStart w:id="141" w:name="_Toc169775930"/>
      <w:bookmarkStart w:id="142" w:name="_Toc19"/>
      <w:bookmarkStart w:id="143" w:name="_Toc2076581112"/>
      <w:r>
        <w:rPr>
          <w:rFonts w:hint="eastAsia" w:ascii="黑体" w:hAnsi="黑体" w:eastAsia="黑体" w:cs="黑体"/>
          <w:b w:val="0"/>
          <w:sz w:val="21"/>
          <w:szCs w:val="22"/>
          <w:lang w:eastAsia="zh-CN"/>
        </w:rPr>
        <w:t>（</w:t>
      </w:r>
      <w:r>
        <w:rPr>
          <w:rFonts w:hint="eastAsia" w:ascii="黑体" w:hAnsi="黑体" w:eastAsia="黑体" w:cs="黑体"/>
          <w:b w:val="0"/>
          <w:sz w:val="21"/>
          <w:szCs w:val="22"/>
        </w:rPr>
        <w:t>资料性</w:t>
      </w:r>
      <w:r>
        <w:rPr>
          <w:rFonts w:hint="eastAsia" w:ascii="黑体" w:hAnsi="黑体" w:eastAsia="黑体" w:cs="黑体"/>
          <w:b w:val="0"/>
          <w:sz w:val="21"/>
          <w:szCs w:val="22"/>
          <w:lang w:eastAsia="zh-CN"/>
        </w:rPr>
        <w:t>）</w:t>
      </w:r>
      <w:bookmarkEnd w:id="141"/>
      <w:bookmarkEnd w:id="142"/>
      <w:bookmarkEnd w:id="143"/>
    </w:p>
    <w:p>
      <w:pPr>
        <w:pStyle w:val="8"/>
        <w:adjustRightInd w:val="0"/>
        <w:snapToGrid w:val="0"/>
        <w:spacing w:after="283"/>
        <w:jc w:val="center"/>
        <w:outlineLvl w:val="0"/>
        <w:rPr>
          <w:rFonts w:hint="eastAsia" w:ascii="黑体" w:hAnsi="黑体" w:eastAsia="黑体"/>
          <w:b w:val="0"/>
          <w:color w:val="000000"/>
          <w:sz w:val="21"/>
          <w:szCs w:val="21"/>
        </w:rPr>
      </w:pPr>
      <w:bookmarkStart w:id="144" w:name="_Toc6951"/>
      <w:bookmarkStart w:id="145" w:name="_Toc169775931"/>
      <w:bookmarkStart w:id="146" w:name="_Toc9599"/>
      <w:bookmarkStart w:id="147" w:name="_Toc194518340"/>
      <w:r>
        <w:rPr>
          <w:rFonts w:hint="eastAsia" w:ascii="黑体" w:hAnsi="黑体" w:eastAsia="黑体"/>
          <w:b w:val="0"/>
          <w:color w:val="000000"/>
          <w:sz w:val="21"/>
          <w:szCs w:val="21"/>
        </w:rPr>
        <w:t>数据安全级别变化规则示例表</w:t>
      </w:r>
      <w:bookmarkEnd w:id="144"/>
      <w:bookmarkEnd w:id="145"/>
      <w:bookmarkEnd w:id="146"/>
      <w:bookmarkEnd w:id="147"/>
    </w:p>
    <w:p>
      <w:pPr>
        <w:ind w:firstLine="420" w:firstLineChars="200"/>
        <w:rPr>
          <w:rFonts w:asciiTheme="minorEastAsia" w:hAnsiTheme="minorEastAsia"/>
          <w:szCs w:val="21"/>
          <w:lang w:bidi="ar"/>
        </w:rPr>
      </w:pPr>
      <w:r>
        <w:rPr>
          <w:rFonts w:hint="eastAsia" w:asciiTheme="minorEastAsia" w:hAnsiTheme="minorEastAsia"/>
          <w:szCs w:val="21"/>
          <w:lang w:bidi="ar"/>
        </w:rPr>
        <w:t>医疗机构数据导</w:t>
      </w:r>
      <w:r>
        <w:rPr>
          <w:rFonts w:asciiTheme="minorEastAsia" w:hAnsiTheme="minorEastAsia"/>
          <w:szCs w:val="21"/>
          <w:lang w:bidi="ar"/>
        </w:rPr>
        <w:t>致安全级别变化的规则详见表</w:t>
      </w:r>
      <w:r>
        <w:rPr>
          <w:rFonts w:hint="eastAsia" w:asciiTheme="minorEastAsia" w:hAnsiTheme="minorEastAsia"/>
          <w:szCs w:val="21"/>
          <w:lang w:val="en-US" w:eastAsia="zh-CN" w:bidi="ar"/>
        </w:rPr>
        <w:t>D.1</w:t>
      </w:r>
      <w:r>
        <w:rPr>
          <w:rFonts w:asciiTheme="minorEastAsia" w:hAnsiTheme="minorEastAsia"/>
          <w:szCs w:val="21"/>
          <w:lang w:bidi="ar"/>
        </w:rPr>
        <w:t>（包括但不限于表中措施和情形）。</w:t>
      </w:r>
    </w:p>
    <w:p>
      <w:pPr>
        <w:pStyle w:val="62"/>
        <w:numPr>
          <w:ilvl w:val="0"/>
          <w:numId w:val="0"/>
        </w:numPr>
        <w:spacing w:before="156" w:after="156" w:line="240" w:lineRule="auto"/>
        <w:ind w:right="210" w:firstLine="0"/>
        <w:jc w:val="center"/>
        <w:rPr>
          <w:rFonts w:hint="eastAsia" w:ascii="黑体" w:hAnsi="Times New Roman" w:eastAsia="黑体" w:cs="Times New Roman"/>
          <w:b w:val="0"/>
          <w:sz w:val="21"/>
          <w:szCs w:val="20"/>
        </w:rPr>
      </w:pPr>
      <w:r>
        <w:rPr>
          <w:rFonts w:hint="eastAsia" w:ascii="黑体" w:hAnsi="Times New Roman" w:eastAsia="黑体" w:cs="Times New Roman"/>
          <w:sz w:val="21"/>
          <w:lang w:val="en-US" w:eastAsia="zh-CN" w:bidi="ar-SA"/>
        </w:rPr>
        <w:t>表</w:t>
      </w:r>
      <w:r>
        <w:rPr>
          <w:rFonts w:hint="eastAsia" w:hAnsi="Times New Roman" w:cs="Times New Roman"/>
          <w:sz w:val="21"/>
          <w:lang w:val="en-US" w:eastAsia="zh-CN" w:bidi="ar-SA"/>
        </w:rPr>
        <w:t>D</w:t>
      </w:r>
      <w:r>
        <w:rPr>
          <w:rFonts w:hint="eastAsia" w:ascii="黑体" w:hAnsi="Times New Roman" w:eastAsia="黑体" w:cs="Times New Roman"/>
          <w:sz w:val="21"/>
          <w:lang w:val="en-US" w:eastAsia="zh-CN" w:bidi="ar-SA"/>
        </w:rPr>
        <w:t>.1  医疗机构数据导致安全级别变化的规则</w:t>
      </w:r>
    </w:p>
    <w:tbl>
      <w:tblPr>
        <w:tblStyle w:val="22"/>
        <w:tblW w:w="8504"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6025"/>
        <w:gridCol w:w="165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bottom w:val="single" w:color="auto" w:sz="8" w:space="0"/>
              <w:right w:val="single" w:color="auto" w:sz="4" w:space="0"/>
            </w:tcBorders>
            <w:vAlign w:val="center"/>
          </w:tcPr>
          <w:p>
            <w:pPr>
              <w:jc w:val="center"/>
              <w:rPr>
                <w:rFonts w:hint="eastAsia" w:ascii="宋体" w:hAnsi="宋体" w:eastAsia="宋体" w:cs="宋体"/>
                <w:sz w:val="18"/>
                <w:szCs w:val="18"/>
                <w:lang w:bidi="ar"/>
              </w:rPr>
            </w:pPr>
            <w:r>
              <w:rPr>
                <w:rFonts w:hint="eastAsia" w:ascii="宋体" w:hAnsi="宋体" w:eastAsia="宋体" w:cs="宋体"/>
                <w:sz w:val="18"/>
                <w:szCs w:val="18"/>
                <w:lang w:bidi="ar"/>
              </w:rPr>
              <w:t>序号</w:t>
            </w:r>
          </w:p>
        </w:tc>
        <w:tc>
          <w:tcPr>
            <w:tcW w:w="3541" w:type="pct"/>
            <w:tcBorders>
              <w:left w:val="single" w:color="auto" w:sz="4" w:space="0"/>
              <w:bottom w:val="single" w:color="auto" w:sz="8"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措施或情形</w:t>
            </w:r>
          </w:p>
        </w:tc>
        <w:tc>
          <w:tcPr>
            <w:tcW w:w="974" w:type="pct"/>
            <w:tcBorders>
              <w:left w:val="nil"/>
              <w:bottom w:val="single" w:color="auto" w:sz="8"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安全级别变化</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8"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1</w:t>
            </w:r>
          </w:p>
        </w:tc>
        <w:tc>
          <w:tcPr>
            <w:tcW w:w="3541" w:type="pct"/>
            <w:tcBorders>
              <w:top w:val="single" w:color="auto" w:sz="8"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数据量增加到特定规模导致社会重大影响</w:t>
            </w:r>
          </w:p>
        </w:tc>
        <w:tc>
          <w:tcPr>
            <w:tcW w:w="974" w:type="pct"/>
            <w:tcBorders>
              <w:top w:val="single" w:color="auto" w:sz="8"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升级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2</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达到国家有关部门规定精度的数据</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升级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3</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关联多个业务部门数据</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升级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4</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大量多维数据进行关联</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升级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5</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发生特定事件导致数据敏感性增强</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升级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6</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数据已被公开或披露</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降级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7</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数据进行脱敏或删除关键字段</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降级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8</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数据进行去标识化、假名化、匿名化</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降级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9</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数据发生特定事件导致数据失去敏感性</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降级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10</w:t>
            </w:r>
          </w:p>
        </w:tc>
        <w:tc>
          <w:tcPr>
            <w:tcW w:w="3541" w:type="pct"/>
            <w:tcBorders>
              <w:top w:val="single" w:color="auto" w:sz="4" w:space="0"/>
              <w:left w:val="single" w:color="auto" w:sz="4" w:space="0"/>
              <w:bottom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具有时效性的数据过期</w:t>
            </w:r>
          </w:p>
        </w:tc>
        <w:tc>
          <w:tcPr>
            <w:tcW w:w="974" w:type="pct"/>
            <w:tcBorders>
              <w:top w:val="single" w:color="auto" w:sz="4" w:space="0"/>
              <w:left w:val="nil"/>
              <w:bottom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降级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3" w:type="pct"/>
            <w:tcBorders>
              <w:top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11</w:t>
            </w:r>
          </w:p>
        </w:tc>
        <w:tc>
          <w:tcPr>
            <w:tcW w:w="3541" w:type="pct"/>
            <w:tcBorders>
              <w:top w:val="single" w:color="auto" w:sz="4" w:space="0"/>
              <w:left w:val="single" w:color="auto" w:sz="4" w:space="0"/>
              <w:right w:val="single" w:color="auto" w:sz="4" w:space="0"/>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数据体量减小到特定规模不会导致社会重大影响</w:t>
            </w:r>
          </w:p>
        </w:tc>
        <w:tc>
          <w:tcPr>
            <w:tcW w:w="974" w:type="pct"/>
            <w:tcBorders>
              <w:top w:val="single" w:color="auto" w:sz="4" w:space="0"/>
              <w:left w:val="nil"/>
            </w:tcBorders>
            <w:vAlign w:val="center"/>
          </w:tcPr>
          <w:p>
            <w:pPr>
              <w:ind w:firstLine="0"/>
              <w:jc w:val="center"/>
              <w:rPr>
                <w:rFonts w:hint="eastAsia" w:ascii="宋体" w:hAnsi="宋体" w:eastAsia="宋体" w:cs="宋体"/>
                <w:sz w:val="18"/>
                <w:szCs w:val="18"/>
                <w:lang w:bidi="ar"/>
              </w:rPr>
            </w:pPr>
            <w:r>
              <w:rPr>
                <w:rFonts w:hint="eastAsia" w:ascii="宋体" w:hAnsi="宋体" w:eastAsia="宋体" w:cs="宋体"/>
                <w:sz w:val="18"/>
                <w:szCs w:val="18"/>
                <w:lang w:bidi="ar"/>
              </w:rPr>
              <w:t>降级</w:t>
            </w:r>
          </w:p>
        </w:tc>
      </w:tr>
    </w:tbl>
    <w:p>
      <w:pPr>
        <w:spacing w:line="560" w:lineRule="exact"/>
        <w:ind w:firstLine="440"/>
        <w:rPr>
          <w:rFonts w:ascii="Times New Roman" w:hAnsi="Times New Roman" w:eastAsia="楷体_GB2312"/>
          <w:sz w:val="22"/>
          <w:lang w:bidi="ar"/>
        </w:rPr>
        <w:sectPr>
          <w:pgSz w:w="11906" w:h="16838"/>
          <w:pgMar w:top="1417" w:right="1134" w:bottom="1134" w:left="1418" w:header="1417" w:footer="1134" w:gutter="0"/>
          <w:pgNumType w:fmt="decimal"/>
          <w:cols w:space="425" w:num="1"/>
          <w:docGrid w:type="lines" w:linePitch="312" w:charSpace="0"/>
        </w:sectPr>
      </w:pPr>
    </w:p>
    <w:p>
      <w:pPr>
        <w:pStyle w:val="77"/>
        <w:shd w:val="clear" w:color="FFFFFF" w:fill="FFFFFF"/>
        <w:spacing w:before="567" w:after="283" w:afterLines="0"/>
        <w:rPr>
          <w:rFonts w:hint="eastAsia" w:hAnsiTheme="minorHAnsi" w:cstheme="minorBidi"/>
          <w:spacing w:val="105"/>
          <w:szCs w:val="22"/>
          <w:lang w:val="en-US" w:eastAsia="zh-CN"/>
        </w:rPr>
      </w:pPr>
      <w:bookmarkStart w:id="148" w:name="_Toc17109"/>
      <w:bookmarkStart w:id="149" w:name="_Toc799629646"/>
      <w:bookmarkStart w:id="150" w:name="_Toc169775932"/>
      <w:r>
        <w:rPr>
          <w:rFonts w:hint="default" w:hAnsiTheme="minorHAnsi" w:cstheme="minorBidi"/>
          <w:spacing w:val="105"/>
          <w:szCs w:val="22"/>
          <w:lang w:val="en-US" w:eastAsia="zh-CN"/>
        </w:rPr>
        <w:t>参考文献</w:t>
      </w:r>
      <w:bookmarkEnd w:id="148"/>
      <w:bookmarkEnd w:id="149"/>
      <w:bookmarkEnd w:id="150"/>
    </w:p>
    <w:p>
      <w:pPr>
        <w:pStyle w:val="69"/>
        <w:numPr>
          <w:ilvl w:val="0"/>
          <w:numId w:val="28"/>
        </w:numPr>
        <w:ind w:left="0" w:leftChars="0" w:firstLine="420" w:firstLineChars="200"/>
        <w:rPr>
          <w:color w:val="auto"/>
        </w:rPr>
      </w:pPr>
      <w:r>
        <w:rPr>
          <w:rFonts w:hint="eastAsia"/>
          <w:color w:val="auto"/>
          <w:lang w:val="en-US" w:eastAsia="zh-CN"/>
        </w:rPr>
        <w:t xml:space="preserve"> GB/T 10113</w:t>
      </w:r>
      <w:r>
        <w:rPr>
          <w:rFonts w:hint="eastAsia"/>
        </w:rPr>
        <w:t>—</w:t>
      </w:r>
      <w:r>
        <w:rPr>
          <w:rFonts w:hint="eastAsia"/>
          <w:color w:val="auto"/>
          <w:lang w:val="en-US" w:eastAsia="zh-CN"/>
        </w:rPr>
        <w:t xml:space="preserve">2003  分类与编码通用术语 </w:t>
      </w:r>
    </w:p>
    <w:p>
      <w:pPr>
        <w:pStyle w:val="69"/>
        <w:numPr>
          <w:ilvl w:val="0"/>
          <w:numId w:val="28"/>
        </w:numPr>
        <w:ind w:left="0" w:leftChars="0" w:firstLine="420" w:firstLineChars="200"/>
        <w:rPr>
          <w:color w:val="auto"/>
        </w:rPr>
      </w:pPr>
      <w:r>
        <w:rPr>
          <w:rFonts w:hint="eastAsia"/>
          <w:color w:val="auto"/>
          <w:lang w:val="en-US" w:eastAsia="zh-CN"/>
        </w:rPr>
        <w:t xml:space="preserve"> </w:t>
      </w:r>
      <w:r>
        <w:rPr>
          <w:color w:val="auto"/>
        </w:rPr>
        <w:t>GB/T 22080</w:t>
      </w:r>
      <w:r>
        <w:rPr>
          <w:rFonts w:hint="eastAsia"/>
        </w:rPr>
        <w:t>—</w:t>
      </w:r>
      <w:r>
        <w:rPr>
          <w:color w:val="auto"/>
        </w:rPr>
        <w:t xml:space="preserve">2016 </w:t>
      </w:r>
      <w:r>
        <w:rPr>
          <w:rFonts w:hint="eastAsia"/>
          <w:color w:val="auto"/>
          <w:lang w:val="en-US" w:eastAsia="zh-CN"/>
        </w:rPr>
        <w:t xml:space="preserve"> </w:t>
      </w:r>
      <w:r>
        <w:rPr>
          <w:color w:val="auto"/>
        </w:rPr>
        <w:t xml:space="preserve">信息技术 安全技术 信息安全管理体系要求 </w:t>
      </w:r>
    </w:p>
    <w:p>
      <w:pPr>
        <w:pStyle w:val="69"/>
        <w:numPr>
          <w:ilvl w:val="0"/>
          <w:numId w:val="28"/>
        </w:numPr>
        <w:ind w:left="0" w:leftChars="0" w:firstLine="420" w:firstLineChars="200"/>
        <w:rPr>
          <w:color w:val="auto"/>
        </w:rPr>
      </w:pPr>
      <w:r>
        <w:rPr>
          <w:color w:val="auto"/>
        </w:rPr>
        <w:t xml:space="preserve"> GB/T 22081</w:t>
      </w:r>
      <w:r>
        <w:rPr>
          <w:rFonts w:hint="eastAsia"/>
        </w:rPr>
        <w:t>—</w:t>
      </w:r>
      <w:r>
        <w:rPr>
          <w:color w:val="auto"/>
        </w:rPr>
        <w:t xml:space="preserve">2016 </w:t>
      </w:r>
      <w:r>
        <w:rPr>
          <w:rFonts w:hint="eastAsia"/>
          <w:color w:val="auto"/>
          <w:lang w:val="en-US" w:eastAsia="zh-CN"/>
        </w:rPr>
        <w:t xml:space="preserve"> </w:t>
      </w:r>
      <w:r>
        <w:rPr>
          <w:color w:val="auto"/>
        </w:rPr>
        <w:t xml:space="preserve">信息技术 安全技术 信息安全控制实践指南 </w:t>
      </w:r>
    </w:p>
    <w:p>
      <w:pPr>
        <w:pStyle w:val="69"/>
        <w:numPr>
          <w:ilvl w:val="0"/>
          <w:numId w:val="28"/>
        </w:numPr>
        <w:ind w:left="0" w:leftChars="0" w:firstLine="420" w:firstLineChars="200"/>
        <w:rPr>
          <w:color w:val="auto"/>
        </w:rPr>
      </w:pPr>
      <w:r>
        <w:rPr>
          <w:rFonts w:hint="eastAsia" w:ascii="宋体" w:hAnsi="Times New Roman" w:eastAsia="宋体" w:cs="Times New Roman"/>
          <w:color w:val="auto"/>
        </w:rPr>
        <w:t xml:space="preserve"> </w:t>
      </w:r>
      <w:r>
        <w:rPr>
          <w:color w:val="auto"/>
        </w:rPr>
        <w:t>GB/T 35273</w:t>
      </w:r>
      <w:r>
        <w:rPr>
          <w:rFonts w:hint="eastAsia"/>
        </w:rPr>
        <w:t>—</w:t>
      </w:r>
      <w:r>
        <w:rPr>
          <w:color w:val="auto"/>
        </w:rPr>
        <w:t xml:space="preserve">2020 </w:t>
      </w:r>
      <w:r>
        <w:rPr>
          <w:rFonts w:hint="eastAsia"/>
          <w:color w:val="auto"/>
          <w:lang w:val="en-US" w:eastAsia="zh-CN"/>
        </w:rPr>
        <w:t xml:space="preserve"> </w:t>
      </w:r>
      <w:r>
        <w:rPr>
          <w:rFonts w:hint="eastAsia"/>
          <w:color w:val="auto"/>
        </w:rPr>
        <w:t>信息安全技术</w:t>
      </w:r>
      <w:r>
        <w:rPr>
          <w:color w:val="auto"/>
        </w:rPr>
        <w:t xml:space="preserve"> </w:t>
      </w:r>
      <w:r>
        <w:rPr>
          <w:rFonts w:hint="eastAsia"/>
          <w:color w:val="auto"/>
        </w:rPr>
        <w:t>个人信息安全规范</w:t>
      </w:r>
    </w:p>
    <w:p>
      <w:pPr>
        <w:pStyle w:val="69"/>
        <w:numPr>
          <w:ilvl w:val="0"/>
          <w:numId w:val="28"/>
        </w:numPr>
        <w:ind w:left="0" w:leftChars="0" w:firstLine="420" w:firstLineChars="200"/>
        <w:rPr>
          <w:color w:val="auto"/>
        </w:rPr>
      </w:pPr>
      <w:r>
        <w:rPr>
          <w:color w:val="auto"/>
        </w:rPr>
        <w:t xml:space="preserve"> GB/T 37964</w:t>
      </w:r>
      <w:r>
        <w:rPr>
          <w:rFonts w:hint="eastAsia"/>
        </w:rPr>
        <w:t>—</w:t>
      </w:r>
      <w:r>
        <w:rPr>
          <w:color w:val="auto"/>
        </w:rPr>
        <w:t xml:space="preserve">2019 </w:t>
      </w:r>
      <w:r>
        <w:rPr>
          <w:rFonts w:hint="eastAsia"/>
          <w:color w:val="auto"/>
          <w:lang w:val="en-US" w:eastAsia="zh-CN"/>
        </w:rPr>
        <w:t xml:space="preserve"> </w:t>
      </w:r>
      <w:r>
        <w:rPr>
          <w:color w:val="auto"/>
        </w:rPr>
        <w:t xml:space="preserve">信息安全技术 个人信息去标识化指南 </w:t>
      </w:r>
    </w:p>
    <w:p>
      <w:pPr>
        <w:pStyle w:val="69"/>
        <w:numPr>
          <w:ilvl w:val="0"/>
          <w:numId w:val="28"/>
        </w:numPr>
        <w:ind w:left="0" w:leftChars="0" w:firstLine="420" w:firstLineChars="200"/>
        <w:rPr>
          <w:color w:val="auto"/>
        </w:rPr>
      </w:pPr>
      <w:r>
        <w:rPr>
          <w:rFonts w:hint="eastAsia"/>
          <w:color w:val="auto"/>
          <w:lang w:val="en-US" w:eastAsia="zh-CN"/>
        </w:rPr>
        <w:t xml:space="preserve"> </w:t>
      </w:r>
      <w:r>
        <w:rPr>
          <w:rFonts w:hint="eastAsia"/>
          <w:color w:val="auto"/>
        </w:rPr>
        <w:t>GB/T 39725</w:t>
      </w:r>
      <w:r>
        <w:rPr>
          <w:rFonts w:hint="eastAsia"/>
        </w:rPr>
        <w:t>—</w:t>
      </w:r>
      <w:r>
        <w:rPr>
          <w:rFonts w:hint="eastAsia"/>
          <w:color w:val="auto"/>
        </w:rPr>
        <w:t xml:space="preserve">2020 </w:t>
      </w:r>
      <w:r>
        <w:rPr>
          <w:rFonts w:hint="eastAsia"/>
          <w:color w:val="auto"/>
          <w:lang w:val="en-US" w:eastAsia="zh-CN"/>
        </w:rPr>
        <w:t xml:space="preserve"> </w:t>
      </w:r>
      <w:r>
        <w:rPr>
          <w:rFonts w:hint="eastAsia"/>
          <w:color w:val="auto"/>
        </w:rPr>
        <w:t>信息安全技术 健康医疗数据安全指南</w:t>
      </w:r>
    </w:p>
    <w:p>
      <w:pPr>
        <w:pStyle w:val="69"/>
        <w:numPr>
          <w:ilvl w:val="0"/>
          <w:numId w:val="28"/>
        </w:numPr>
        <w:ind w:left="0" w:leftChars="0" w:firstLine="420" w:firstLineChars="200"/>
        <w:rPr>
          <w:color w:val="auto"/>
        </w:rPr>
      </w:pPr>
      <w:r>
        <w:rPr>
          <w:color w:val="auto"/>
        </w:rPr>
        <w:t xml:space="preserve"> </w:t>
      </w:r>
      <w:r>
        <w:rPr>
          <w:rFonts w:hint="eastAsia"/>
          <w:color w:val="auto"/>
        </w:rPr>
        <w:t>中华人民共和国数据安全法</w:t>
      </w:r>
      <w:r>
        <w:rPr>
          <w:rFonts w:hint="eastAsia"/>
          <w:color w:val="auto"/>
          <w:lang w:eastAsia="zh-CN"/>
        </w:rPr>
        <w:t>（</w:t>
      </w:r>
      <w:r>
        <w:rPr>
          <w:color w:val="auto"/>
        </w:rPr>
        <w:t>中华人民共和国主席令第84号</w:t>
      </w:r>
      <w:r>
        <w:rPr>
          <w:rFonts w:hint="eastAsia"/>
          <w:color w:val="auto"/>
          <w:lang w:eastAsia="zh-CN"/>
        </w:rPr>
        <w:t>）</w:t>
      </w:r>
    </w:p>
    <w:p>
      <w:pPr>
        <w:pStyle w:val="69"/>
        <w:numPr>
          <w:ilvl w:val="0"/>
          <w:numId w:val="28"/>
        </w:numPr>
        <w:ind w:left="0" w:leftChars="0" w:firstLine="420" w:firstLineChars="200"/>
        <w:rPr>
          <w:color w:val="auto"/>
        </w:rPr>
      </w:pPr>
      <w:r>
        <w:rPr>
          <w:rFonts w:hint="eastAsia" w:ascii="宋体" w:hAnsi="Times New Roman" w:eastAsia="宋体" w:cs="Times New Roman"/>
          <w:color w:val="auto"/>
        </w:rPr>
        <w:t xml:space="preserve"> </w:t>
      </w:r>
      <w:r>
        <w:rPr>
          <w:rFonts w:hint="eastAsia"/>
          <w:color w:val="auto"/>
        </w:rPr>
        <w:t>中华人民共和国网络安全法</w:t>
      </w:r>
      <w:r>
        <w:rPr>
          <w:rFonts w:hint="eastAsia"/>
          <w:color w:val="auto"/>
          <w:lang w:eastAsia="zh-CN"/>
        </w:rPr>
        <w:t>（</w:t>
      </w:r>
      <w:r>
        <w:rPr>
          <w:color w:val="auto"/>
        </w:rPr>
        <w:t>中华人民共和国主席令第53号</w:t>
      </w:r>
      <w:r>
        <w:rPr>
          <w:rFonts w:hint="eastAsia"/>
          <w:color w:val="auto"/>
          <w:lang w:eastAsia="zh-CN"/>
        </w:rPr>
        <w:t>）</w:t>
      </w:r>
    </w:p>
    <w:p>
      <w:pPr>
        <w:pStyle w:val="69"/>
        <w:numPr>
          <w:ilvl w:val="0"/>
          <w:numId w:val="28"/>
        </w:numPr>
        <w:ind w:left="0" w:leftChars="0" w:firstLine="420" w:firstLineChars="200"/>
        <w:rPr>
          <w:color w:val="auto"/>
        </w:rPr>
      </w:pPr>
      <w:r>
        <w:rPr>
          <w:color w:val="auto"/>
        </w:rPr>
        <w:t xml:space="preserve"> </w:t>
      </w:r>
      <w:r>
        <w:rPr>
          <w:rFonts w:hint="eastAsia"/>
          <w:color w:val="auto"/>
        </w:rPr>
        <w:t>中华人民共和国个人信息保护法</w:t>
      </w:r>
      <w:r>
        <w:rPr>
          <w:rFonts w:hint="eastAsia"/>
          <w:color w:val="auto"/>
          <w:lang w:eastAsia="zh-CN"/>
        </w:rPr>
        <w:t>（</w:t>
      </w:r>
      <w:r>
        <w:rPr>
          <w:color w:val="auto"/>
        </w:rPr>
        <w:t>中华人民共和国主席令第91号</w:t>
      </w:r>
      <w:r>
        <w:rPr>
          <w:rFonts w:hint="eastAsia"/>
          <w:color w:val="auto"/>
          <w:lang w:eastAsia="zh-CN"/>
        </w:rPr>
        <w:t>）</w:t>
      </w:r>
    </w:p>
    <w:p>
      <w:pPr>
        <w:pStyle w:val="69"/>
        <w:numPr>
          <w:ilvl w:val="0"/>
          <w:numId w:val="28"/>
        </w:numPr>
        <w:ind w:left="0" w:leftChars="0" w:firstLine="420" w:firstLineChars="200"/>
        <w:rPr>
          <w:color w:val="auto"/>
        </w:rPr>
      </w:pPr>
      <w:r>
        <w:rPr>
          <w:rFonts w:hint="eastAsia"/>
          <w:color w:val="auto"/>
          <w:lang w:val="en-US" w:eastAsia="zh-CN"/>
        </w:rPr>
        <w:t xml:space="preserve"> </w:t>
      </w:r>
      <w:r>
        <w:rPr>
          <w:rFonts w:hint="eastAsia"/>
          <w:color w:val="auto"/>
        </w:rPr>
        <w:t>数据出境安全评估办法</w:t>
      </w:r>
      <w:r>
        <w:rPr>
          <w:rFonts w:hint="eastAsia"/>
          <w:color w:val="auto"/>
          <w:lang w:eastAsia="zh-CN"/>
        </w:rPr>
        <w:t>（</w:t>
      </w:r>
      <w:r>
        <w:rPr>
          <w:color w:val="auto"/>
        </w:rPr>
        <w:t>国家互联网信息办公室</w:t>
      </w:r>
      <w:r>
        <w:rPr>
          <w:rFonts w:hint="eastAsia"/>
          <w:color w:val="auto"/>
          <w:lang w:eastAsia="zh-CN"/>
        </w:rPr>
        <w:t>）</w:t>
      </w:r>
    </w:p>
    <w:p>
      <w:pPr>
        <w:pStyle w:val="69"/>
        <w:numPr>
          <w:ilvl w:val="0"/>
          <w:numId w:val="28"/>
        </w:numPr>
        <w:ind w:left="0" w:leftChars="0" w:firstLine="420" w:firstLineChars="200"/>
        <w:rPr>
          <w:color w:val="auto"/>
        </w:rPr>
      </w:pPr>
      <w:r>
        <w:rPr>
          <w:rFonts w:hint="eastAsia"/>
          <w:color w:val="auto"/>
          <w:lang w:val="en-US" w:eastAsia="zh-CN"/>
        </w:rPr>
        <w:t xml:space="preserve"> </w:t>
      </w:r>
      <w:r>
        <w:rPr>
          <w:color w:val="auto"/>
        </w:rPr>
        <w:t>医疗卫生机构网络安全管理办法</w:t>
      </w:r>
      <w:r>
        <w:rPr>
          <w:rFonts w:hint="eastAsia"/>
          <w:color w:val="auto"/>
          <w:lang w:eastAsia="zh-CN"/>
        </w:rPr>
        <w:t>（</w:t>
      </w:r>
      <w:r>
        <w:rPr>
          <w:color w:val="auto"/>
        </w:rPr>
        <w:t>国家卫生健康委、国家中医药局、国家疾控局</w:t>
      </w:r>
      <w:r>
        <w:rPr>
          <w:rFonts w:hint="eastAsia"/>
          <w:color w:val="auto"/>
          <w:lang w:eastAsia="zh-CN"/>
        </w:rPr>
        <w:t>）</w:t>
      </w:r>
      <w:r>
        <w:rPr>
          <w:color w:val="auto"/>
        </w:rPr>
        <w:t xml:space="preserve"> </w:t>
      </w:r>
    </w:p>
    <w:p>
      <w:pPr>
        <w:pStyle w:val="69"/>
        <w:numPr>
          <w:ilvl w:val="0"/>
          <w:numId w:val="28"/>
        </w:numPr>
        <w:ind w:left="0" w:leftChars="0" w:firstLine="420" w:firstLineChars="200"/>
        <w:rPr>
          <w:color w:val="auto"/>
        </w:rPr>
      </w:pPr>
      <w:r>
        <w:rPr>
          <w:rFonts w:hint="eastAsia"/>
          <w:color w:val="auto"/>
          <w:lang w:val="en-US" w:eastAsia="zh-CN"/>
        </w:rPr>
        <w:t xml:space="preserve"> </w:t>
      </w:r>
      <w:r>
        <w:rPr>
          <w:rFonts w:hint="eastAsia"/>
          <w:color w:val="auto"/>
        </w:rPr>
        <w:t>卫生健康行业数据分类分级指南（试行）（国家卫生健康委办公厅、国家中医药管理局综合司、国家疾病预防控制局综合司）</w:t>
      </w:r>
    </w:p>
    <w:p>
      <w:pPr>
        <w:pStyle w:val="69"/>
        <w:numPr>
          <w:ilvl w:val="0"/>
          <w:numId w:val="28"/>
        </w:numPr>
        <w:ind w:left="0" w:leftChars="0" w:firstLine="420" w:firstLineChars="200"/>
        <w:rPr>
          <w:color w:val="auto"/>
        </w:rPr>
      </w:pPr>
      <w:r>
        <w:rPr>
          <w:rFonts w:hint="eastAsia"/>
          <w:color w:val="auto"/>
          <w:lang w:val="en-US" w:eastAsia="zh-CN"/>
        </w:rPr>
        <w:t xml:space="preserve"> </w:t>
      </w:r>
      <w:r>
        <w:rPr>
          <w:color w:val="auto"/>
        </w:rPr>
        <w:t>医疗机构管理条例实施细则</w:t>
      </w:r>
      <w:r>
        <w:rPr>
          <w:rFonts w:hint="eastAsia"/>
          <w:color w:val="auto"/>
          <w:lang w:eastAsia="zh-CN"/>
        </w:rPr>
        <w:t>（</w:t>
      </w:r>
      <w:r>
        <w:rPr>
          <w:color w:val="auto"/>
        </w:rPr>
        <w:t>2017年国家卫生和计划生育委员会令第12号</w:t>
      </w:r>
      <w:r>
        <w:rPr>
          <w:rFonts w:hint="eastAsia"/>
          <w:color w:val="auto"/>
          <w:lang w:eastAsia="zh-CN"/>
        </w:rPr>
        <w:t>）</w:t>
      </w:r>
    </w:p>
    <w:p>
      <w:pPr>
        <w:pStyle w:val="69"/>
        <w:numPr>
          <w:ilvl w:val="0"/>
          <w:numId w:val="28"/>
        </w:numPr>
        <w:ind w:left="0" w:leftChars="0" w:firstLine="420" w:firstLineChars="200"/>
        <w:rPr>
          <w:color w:val="auto"/>
        </w:rPr>
      </w:pPr>
      <w:r>
        <w:rPr>
          <w:rFonts w:hint="eastAsia"/>
          <w:color w:val="auto"/>
          <w:lang w:val="en-US" w:eastAsia="zh-CN"/>
        </w:rPr>
        <w:t xml:space="preserve"> </w:t>
      </w:r>
      <w:r>
        <w:rPr>
          <w:rFonts w:hint="eastAsia"/>
          <w:color w:val="auto"/>
        </w:rPr>
        <w:t>DB3205/T 1083</w:t>
      </w:r>
      <w:r>
        <w:rPr>
          <w:rFonts w:hint="eastAsia"/>
        </w:rPr>
        <w:t>—</w:t>
      </w:r>
      <w:r>
        <w:rPr>
          <w:rFonts w:hint="eastAsia"/>
          <w:color w:val="auto"/>
        </w:rPr>
        <w:t>2023  医疗机构数据安全管理规范</w:t>
      </w:r>
    </w:p>
    <w:p>
      <w:pPr>
        <w:tabs>
          <w:tab w:val="left" w:pos="6335"/>
        </w:tabs>
        <w:ind w:firstLine="420"/>
        <w:jc w:val="left"/>
        <w:rPr>
          <w:color w:val="FF0000"/>
        </w:rPr>
      </w:pPr>
      <w:r>
        <w:rPr>
          <w:rFonts w:ascii="黑体" w:hAnsi="黑体" w:eastAsia="黑体"/>
        </w:rPr>
        <mc:AlternateContent>
          <mc:Choice Requires="wps">
            <w:drawing>
              <wp:anchor distT="0" distB="0" distL="114300" distR="114300" simplePos="0" relativeHeight="251670528" behindDoc="0" locked="0" layoutInCell="1" allowOverlap="1">
                <wp:simplePos x="0" y="0"/>
                <wp:positionH relativeFrom="column">
                  <wp:posOffset>2111375</wp:posOffset>
                </wp:positionH>
                <wp:positionV relativeFrom="paragraph">
                  <wp:posOffset>174625</wp:posOffset>
                </wp:positionV>
                <wp:extent cx="1800225" cy="0"/>
                <wp:effectExtent l="0" t="4445" r="0" b="5080"/>
                <wp:wrapNone/>
                <wp:docPr id="13" name="直接箭头连接符 5"/>
                <wp:cNvGraphicFramePr/>
                <a:graphic xmlns:a="http://schemas.openxmlformats.org/drawingml/2006/main">
                  <a:graphicData uri="http://schemas.microsoft.com/office/word/2010/wordprocessingShape">
                    <wps:wsp>
                      <wps:cNvCnPr>
                        <a:cxnSpLocks noChangeShapeType="true"/>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6.25pt;margin-top:13.75pt;height:0pt;width:141.75pt;z-index:251670528;mso-width-relative:page;mso-height-relative:page;" filled="f" stroked="t" coordsize="21600,21600" o:gfxdata="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C7eEuJ2AAAAAkBAAAPAAAAAAAAAAEAIAAAADgAAABkcnMv&#10;ZG93bnJldi54bWxQSwECFAAUAAAACACHTuJAs1YC5u0BAACOAwAADgAAAAAAAAABACAAAAA9AQAA&#10;ZHJzL2Uyb0RvYy54bWxQSwUGAAAAAAYABgBZAQAAnAUAAAAA&#10;">
                <v:fill on="f" focussize="0,0"/>
                <v:stroke color="#000000" joinstyle="round"/>
                <v:imagedata o:title=""/>
                <o:lock v:ext="edit" aspectratio="f"/>
              </v:shape>
            </w:pict>
          </mc:Fallback>
        </mc:AlternateContent>
      </w:r>
      <w:r>
        <w:rPr>
          <w:rFonts w:hint="eastAsia"/>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pgSz w:w="11906" w:h="16838"/>
      <w:pgMar w:top="1417" w:right="1134" w:bottom="1134" w:left="1418" w:header="1417"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方正小标宋_GBK">
    <w:panose1 w:val="02000000000000000000"/>
    <w:charset w:val="86"/>
    <w:family w:val="script"/>
    <w:pitch w:val="default"/>
    <w:sig w:usb0="00000001" w:usb1="08000000" w:usb2="00000000" w:usb3="00000000" w:csb0="00040000" w:csb1="00000000"/>
  </w:font>
  <w:font w:name="Dotum,Bold">
    <w:altName w:val="黑体"/>
    <w:panose1 w:val="00000000000000000000"/>
    <w:charset w:val="86"/>
    <w:family w:val="auto"/>
    <w:pitch w:val="default"/>
    <w:sig w:usb0="00000000" w:usb1="00000000" w:usb2="00000010" w:usb3="00000000" w:csb0="00040000" w:csb1="00000000"/>
  </w:font>
  <w:font w:name="SimSun,Bold">
    <w:altName w:val="黑体"/>
    <w:panose1 w:val="00000000000000000000"/>
    <w:charset w:val="86"/>
    <w:family w:val="auto"/>
    <w:pitch w:val="default"/>
    <w:sig w:usb0="00000000" w:usb1="00000000" w:usb2="00000010" w:usb3="00000000" w:csb0="00040000" w:csb1="00000000"/>
  </w:font>
  <w:font w:name="Helvetica">
    <w:altName w:val="FreeSans"/>
    <w:panose1 w:val="020B0504020202030204"/>
    <w:charset w:val="00"/>
    <w:family w:val="swiss"/>
    <w:pitch w:val="default"/>
    <w:sig w:usb0="00000000" w:usb1="00000000" w:usb2="00000000" w:usb3="00000000" w:csb0="00000093" w:csb1="00000000"/>
  </w:font>
  <w:font w:name="楷体_GB2312">
    <w:panose1 w:val="02010609030101010101"/>
    <w:charset w:val="86"/>
    <w:family w:val="modern"/>
    <w:pitch w:val="default"/>
    <w:sig w:usb0="00000001" w:usb1="080E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 w:name="FreeSans">
    <w:panose1 w:val="020B0504020202020204"/>
    <w:charset w:val="00"/>
    <w:family w:val="auto"/>
    <w:pitch w:val="default"/>
    <w:sig w:usb0="E4839EFF" w:usb1="4600FDFF" w:usb2="000030A0" w:usb3="00000584" w:csb0="600001BF" w:csb1="DFF70000"/>
  </w:font>
  <w:font w:name="方正宋体S-超大字符集(SIP)">
    <w:panose1 w:val="03000509000000000000"/>
    <w:charset w:val="86"/>
    <w:family w:val="auto"/>
    <w:pitch w:val="default"/>
    <w:sig w:usb0="00000003" w:usb1="0A0E0800" w:usb2="00000006" w:usb3="00000000" w:csb0="00040001" w:csb1="0000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Theme="minorEastAsia" w:hAnsiTheme="minorEastAsia"/>
      </w:rPr>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14"/>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rPr>
        <w:rFonts w:asciiTheme="minorEastAsia" w:hAnsiTheme="minorEastAsia"/>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10</w:t>
                          </w:r>
                          <w:r>
                            <w:rPr>
                              <w:rFonts w:hint="eastAsia" w:asciiTheme="minorEastAsia" w:hAnsi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7fgaMUAgAAGwQAAA4AAAAAAAAAAQAgAAAANQEAAGRycy9lMm9Eb2MueG1sUEsFBgAAAAAGAAYA&#10;WQEAALsFAAAAAA==&#10;">
              <v:fill on="f" focussize="0,0"/>
              <v:stroke on="f" weight="0.5pt"/>
              <v:imagedata o:title=""/>
              <o:lock v:ext="edit" aspectratio="f"/>
              <v:textbox inset="0mm,0mm,0mm,0mm" style="mso-fit-shape-to-text:t;">
                <w:txbxContent>
                  <w:p>
                    <w:pPr>
                      <w:pStyle w:val="14"/>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10</w:t>
                    </w:r>
                    <w:r>
                      <w:rPr>
                        <w:rFonts w:hint="eastAsia" w:asciiTheme="minorEastAsia" w:hAnsiTheme="minorEastAsia" w:cstheme="minor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Theme="minorEastAsia" w:hAnsiTheme="minorEastAsia"/>
      </w:rPr>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E6rNFA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0Tqs0UAgAAGwQAAA4AAAAAAAAAAQAgAAAANQEAAGRycy9lMm9Eb2MueG1sUEsFBgAAAAAGAAYA&#10;WQEAALs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Theme="minorEastAsia" w:hAnsiTheme="minor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Theme="minorEastAsia" w:hAnsiTheme="minor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Theme="minorEastAsia" w:hAnsiTheme="minorEastAsia"/>
      </w:rPr>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III</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uix5FQ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KEsM0dnT69vX0/fH04wuB&#10;DQC1LswQt3aIjN0b21U0+r0YXAH2NHonvU5fDEUQArSPF4RFFwmHcTydTKclXBy+QUGJ4ul350N8&#10;K6wmSaioxwozsuxwF+I5dAhJ1YxdNUrlNSpD2opevXxd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vuix5FQIAABsEAAAOAAAAAAAAAAEAIAAAADUBAABkcnMvZTJvRG9jLnhtbFBLBQYAAAAABgAG&#10;AFkBAAC8BQAAAAA=&#10;">
              <v:fill on="f" focussize="0,0"/>
              <v:stroke on="f" weight="0.5pt"/>
              <v:imagedata o:title=""/>
              <o:lock v:ext="edit" aspectratio="f"/>
              <v:textbox inset="0mm,0mm,0mm,0mm" style="mso-fit-shape-to-text:t;">
                <w:txbxContent>
                  <w:p>
                    <w:pPr>
                      <w:pStyle w:val="14"/>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III</w:t>
                    </w:r>
                    <w:r>
                      <w:rPr>
                        <w:rFonts w:asciiTheme="minorEastAsia" w:hAnsiTheme="minor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Theme="minorEastAsia" w:hAnsiTheme="minorEastAsia"/>
      </w:rPr>
    </w:pP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I</w:t>
                    </w:r>
                    <w: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CruUMsUAgAAGwQAAA4AAAAAAAAAAQAgAAAANQEAAGRycy9lMm9Eb2MueG1sUEsFBgAAAAAGAAYA&#10;WQEAALsFAAAAAA==&#10;">
              <v:fill on="f" focussize="0,0"/>
              <v:stroke on="f" weight="0.5pt"/>
              <v:imagedata o:title=""/>
              <o:lock v:ext="edit" aspectratio="f"/>
              <v:textbox inset="0mm,0mm,0mm,0mm" style="mso-fit-shape-to-text:t;">
                <w:txbxContent>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Theme="minorEastAsia" w:hAnsiTheme="minor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Theme="minorEastAsia" w:hAnsiTheme="minorEastAsia"/>
      </w:rPr>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rPr>
        <w:rFonts w:asciiTheme="minorEastAsia" w:hAnsiTheme="minorEastAsia"/>
      </w:rPr>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vA/AhHQIAACs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rm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8D8CEdAgAAKwQAAA4AAAAAAAAAAQAgAAAANQ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IV</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6"/>
        <w:rFonts w:ascii="黑体" w:hAnsi="黑体" w:eastAsia="黑体"/>
        <w:i w:val="0"/>
      </w:rPr>
    </w:pP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6"/>
        <w:rFonts w:ascii="黑体" w:hAnsi="黑体" w:eastAsia="黑体"/>
        <w:i w:val="0"/>
      </w:rPr>
    </w:pP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6"/>
        <w:rFonts w:ascii="黑体" w:hAnsi="黑体" w:eastAsia="黑体"/>
        <w:i w:val="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6"/>
        <w:rFonts w:ascii="黑体" w:hAnsi="黑体" w:eastAsia="黑体"/>
        <w:i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6"/>
        <w:rFonts w:ascii="黑体" w:hAnsi="黑体" w:eastAsia="黑体"/>
        <w:i w:val="0"/>
        <w:color w:val="auto"/>
      </w:rPr>
    </w:pPr>
    <w:r>
      <w:rPr>
        <w:rFonts w:hint="eastAsia" w:ascii="黑体" w:hAnsi="黑体" w:eastAsia="黑体"/>
        <w:color w:val="auto"/>
      </w:rPr>
      <w:t>DB32</w:t>
    </w:r>
    <w:r>
      <w:rPr>
        <w:rFonts w:ascii="黑体" w:hAnsi="黑体" w:eastAsia="黑体"/>
        <w:color w:val="auto"/>
      </w:rPr>
      <w:t>05</w:t>
    </w:r>
    <w:r>
      <w:rPr>
        <w:rFonts w:hint="eastAsia" w:ascii="黑体" w:hAnsi="黑体" w:eastAsia="黑体"/>
        <w:color w:val="auto"/>
      </w:rPr>
      <w:t>/T 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6"/>
        <w:rFonts w:ascii="黑体" w:hAnsi="黑体" w:eastAsia="黑体"/>
        <w:i w:val="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jc w:val="right"/>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9EA02"/>
    <w:multiLevelType w:val="singleLevel"/>
    <w:tmpl w:val="8259EA02"/>
    <w:lvl w:ilvl="0" w:tentative="0">
      <w:start w:val="1"/>
      <w:numFmt w:val="decimal"/>
      <w:suff w:val="nothing"/>
      <w:lvlText w:val="%1）"/>
      <w:lvlJc w:val="left"/>
      <w:rPr>
        <w:rFonts w:hint="default" w:ascii="宋体" w:hAnsi="宋体" w:eastAsia="宋体" w:cs="宋体"/>
        <w:sz w:val="21"/>
        <w:szCs w:val="21"/>
      </w:rPr>
    </w:lvl>
  </w:abstractNum>
  <w:abstractNum w:abstractNumId="1">
    <w:nsid w:val="90E0E791"/>
    <w:multiLevelType w:val="singleLevel"/>
    <w:tmpl w:val="90E0E791"/>
    <w:lvl w:ilvl="0" w:tentative="0">
      <w:start w:val="1"/>
      <w:numFmt w:val="decimal"/>
      <w:lvlText w:val="%1."/>
      <w:lvlJc w:val="left"/>
      <w:pPr>
        <w:ind w:left="227" w:leftChars="0" w:hanging="227" w:firstLineChars="0"/>
      </w:pPr>
      <w:rPr>
        <w:rFonts w:hint="default"/>
      </w:rPr>
    </w:lvl>
  </w:abstractNum>
  <w:abstractNum w:abstractNumId="2">
    <w:nsid w:val="9EF0FD4A"/>
    <w:multiLevelType w:val="singleLevel"/>
    <w:tmpl w:val="9EF0FD4A"/>
    <w:lvl w:ilvl="0" w:tentative="0">
      <w:start w:val="1"/>
      <w:numFmt w:val="decimal"/>
      <w:lvlText w:val="%1."/>
      <w:lvlJc w:val="left"/>
      <w:pPr>
        <w:ind w:left="227" w:leftChars="0" w:hanging="227" w:firstLineChars="0"/>
      </w:pPr>
      <w:rPr>
        <w:rFonts w:hint="default"/>
      </w:rPr>
    </w:lvl>
  </w:abstractNum>
  <w:abstractNum w:abstractNumId="3">
    <w:nsid w:val="A897B52A"/>
    <w:multiLevelType w:val="singleLevel"/>
    <w:tmpl w:val="A897B52A"/>
    <w:lvl w:ilvl="0" w:tentative="0">
      <w:start w:val="1"/>
      <w:numFmt w:val="lowerLetter"/>
      <w:suff w:val="space"/>
      <w:lvlText w:val="%1）"/>
      <w:lvlJc w:val="left"/>
      <w:rPr>
        <w:rFonts w:hint="default" w:ascii="宋体" w:hAnsi="宋体" w:eastAsia="宋体" w:cs="宋体"/>
        <w:sz w:val="21"/>
        <w:szCs w:val="21"/>
      </w:rPr>
    </w:lvl>
  </w:abstractNum>
  <w:abstractNum w:abstractNumId="4">
    <w:nsid w:val="AE3E15B5"/>
    <w:multiLevelType w:val="singleLevel"/>
    <w:tmpl w:val="AE3E15B5"/>
    <w:lvl w:ilvl="0" w:tentative="0">
      <w:start w:val="1"/>
      <w:numFmt w:val="decimal"/>
      <w:suff w:val="nothing"/>
      <w:lvlText w:val="%1）"/>
      <w:lvlJc w:val="left"/>
      <w:rPr>
        <w:rFonts w:hint="default" w:ascii="宋体" w:hAnsi="宋体" w:eastAsia="宋体" w:cs="宋体"/>
        <w:sz w:val="21"/>
        <w:szCs w:val="21"/>
      </w:rPr>
    </w:lvl>
  </w:abstractNum>
  <w:abstractNum w:abstractNumId="5">
    <w:nsid w:val="B3E83ABB"/>
    <w:multiLevelType w:val="singleLevel"/>
    <w:tmpl w:val="B3E83ABB"/>
    <w:lvl w:ilvl="0" w:tentative="0">
      <w:start w:val="1"/>
      <w:numFmt w:val="decimal"/>
      <w:suff w:val="nothing"/>
      <w:lvlText w:val="%1）"/>
      <w:lvlJc w:val="left"/>
      <w:rPr>
        <w:rFonts w:hint="default" w:ascii="宋体" w:hAnsi="宋体" w:eastAsia="宋体" w:cs="宋体"/>
        <w:sz w:val="21"/>
        <w:szCs w:val="21"/>
      </w:rPr>
    </w:lvl>
  </w:abstractNum>
  <w:abstractNum w:abstractNumId="6">
    <w:nsid w:val="CB54F6BD"/>
    <w:multiLevelType w:val="singleLevel"/>
    <w:tmpl w:val="CB54F6BD"/>
    <w:lvl w:ilvl="0" w:tentative="0">
      <w:start w:val="1"/>
      <w:numFmt w:val="decimal"/>
      <w:lvlText w:val="%1."/>
      <w:lvlJc w:val="left"/>
      <w:pPr>
        <w:ind w:left="227" w:leftChars="0" w:hanging="227" w:firstLineChars="0"/>
      </w:pPr>
      <w:rPr>
        <w:rFonts w:hint="default"/>
      </w:rPr>
    </w:lvl>
  </w:abstractNum>
  <w:abstractNum w:abstractNumId="7">
    <w:nsid w:val="04D24238"/>
    <w:multiLevelType w:val="singleLevel"/>
    <w:tmpl w:val="04D24238"/>
    <w:lvl w:ilvl="0" w:tentative="0">
      <w:start w:val="1"/>
      <w:numFmt w:val="decimal"/>
      <w:lvlText w:val="%1."/>
      <w:lvlJc w:val="left"/>
      <w:pPr>
        <w:ind w:left="227" w:leftChars="0" w:hanging="227" w:firstLineChars="0"/>
      </w:pPr>
      <w:rPr>
        <w:rFonts w:hint="default"/>
      </w:rPr>
    </w:lvl>
  </w:abstractNum>
  <w:abstractNum w:abstractNumId="8">
    <w:nsid w:val="079102AD"/>
    <w:multiLevelType w:val="multilevel"/>
    <w:tmpl w:val="079102AD"/>
    <w:lvl w:ilvl="0" w:tentative="0">
      <w:start w:val="1"/>
      <w:numFmt w:val="decimal"/>
      <w:pStyle w:val="7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7ED3FEA"/>
    <w:multiLevelType w:val="multilevel"/>
    <w:tmpl w:val="07ED3FEA"/>
    <w:lvl w:ilvl="0" w:tentative="0">
      <w:start w:val="1"/>
      <w:numFmt w:val="none"/>
      <w:pStyle w:val="51"/>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1DF197E5"/>
    <w:multiLevelType w:val="singleLevel"/>
    <w:tmpl w:val="1DF197E5"/>
    <w:lvl w:ilvl="0" w:tentative="0">
      <w:start w:val="1"/>
      <w:numFmt w:val="decimal"/>
      <w:suff w:val="space"/>
      <w:lvlText w:val="[%1]"/>
      <w:lvlJc w:val="left"/>
    </w:lvl>
  </w:abstractNum>
  <w:abstractNum w:abstractNumId="11">
    <w:nsid w:val="1FB0D033"/>
    <w:multiLevelType w:val="singleLevel"/>
    <w:tmpl w:val="1FB0D033"/>
    <w:lvl w:ilvl="0" w:tentative="0">
      <w:start w:val="1"/>
      <w:numFmt w:val="decimal"/>
      <w:lvlText w:val="%1."/>
      <w:lvlJc w:val="left"/>
      <w:pPr>
        <w:ind w:left="227" w:leftChars="0" w:hanging="227" w:firstLineChars="0"/>
      </w:pPr>
      <w:rPr>
        <w:rFonts w:hint="default"/>
      </w:rPr>
    </w:lvl>
  </w:abstractNum>
  <w:abstractNum w:abstractNumId="12">
    <w:nsid w:val="1FC91163"/>
    <w:multiLevelType w:val="multilevel"/>
    <w:tmpl w:val="1FC91163"/>
    <w:lvl w:ilvl="0" w:tentative="0">
      <w:start w:val="1"/>
      <w:numFmt w:val="decimal"/>
      <w:pStyle w:val="5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tentative="0">
      <w:start w:val="1"/>
      <w:numFmt w:val="none"/>
      <w:suff w:val="nothing"/>
      <w:lvlText w:val="%1——"/>
      <w:lvlJc w:val="left"/>
      <w:pPr>
        <w:ind w:left="833" w:hanging="408"/>
      </w:pPr>
      <w:rPr>
        <w:rFonts w:hint="eastAsia"/>
        <w:lang w:val="en-US"/>
      </w:rPr>
    </w:lvl>
    <w:lvl w:ilvl="1" w:tentative="0">
      <w:start w:val="1"/>
      <w:numFmt w:val="bullet"/>
      <w:pStyle w:val="58"/>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2E678729"/>
    <w:multiLevelType w:val="singleLevel"/>
    <w:tmpl w:val="2E678729"/>
    <w:lvl w:ilvl="0" w:tentative="0">
      <w:start w:val="1"/>
      <w:numFmt w:val="decimal"/>
      <w:suff w:val="nothing"/>
      <w:lvlText w:val="%1）"/>
      <w:lvlJc w:val="left"/>
      <w:rPr>
        <w:rFonts w:hint="default" w:ascii="宋体" w:hAnsi="宋体" w:eastAsia="宋体" w:cs="宋体"/>
        <w:sz w:val="21"/>
        <w:szCs w:val="21"/>
      </w:rPr>
    </w:lvl>
  </w:abstractNum>
  <w:abstractNum w:abstractNumId="15">
    <w:nsid w:val="36ACA111"/>
    <w:multiLevelType w:val="singleLevel"/>
    <w:tmpl w:val="36ACA111"/>
    <w:lvl w:ilvl="0" w:tentative="0">
      <w:start w:val="1"/>
      <w:numFmt w:val="lowerLetter"/>
      <w:suff w:val="space"/>
      <w:lvlText w:val="%1）"/>
      <w:lvlJc w:val="left"/>
      <w:rPr>
        <w:rFonts w:hint="default" w:ascii="宋体" w:hAnsi="宋体" w:eastAsia="宋体" w:cs="宋体"/>
        <w:sz w:val="21"/>
        <w:szCs w:val="21"/>
      </w:rPr>
    </w:lvl>
  </w:abstractNum>
  <w:abstractNum w:abstractNumId="16">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61CAE"/>
    <w:multiLevelType w:val="singleLevel"/>
    <w:tmpl w:val="4B761CAE"/>
    <w:lvl w:ilvl="0" w:tentative="0">
      <w:start w:val="1"/>
      <w:numFmt w:val="lowerLetter"/>
      <w:suff w:val="space"/>
      <w:lvlText w:val="%1）"/>
      <w:lvlJc w:val="left"/>
      <w:rPr>
        <w:rFonts w:hint="default" w:ascii="宋体" w:hAnsi="宋体" w:eastAsia="宋体" w:cs="宋体"/>
        <w:sz w:val="21"/>
        <w:szCs w:val="21"/>
      </w:rPr>
    </w:lvl>
  </w:abstractNum>
  <w:abstractNum w:abstractNumId="18">
    <w:nsid w:val="506CCFB7"/>
    <w:multiLevelType w:val="singleLevel"/>
    <w:tmpl w:val="506CCFB7"/>
    <w:lvl w:ilvl="0" w:tentative="0">
      <w:start w:val="1"/>
      <w:numFmt w:val="lowerLetter"/>
      <w:suff w:val="space"/>
      <w:lvlText w:val="%1）"/>
      <w:lvlJc w:val="left"/>
      <w:rPr>
        <w:rFonts w:hint="default" w:ascii="宋体" w:hAnsi="宋体" w:eastAsia="宋体" w:cs="宋体"/>
        <w:sz w:val="21"/>
        <w:szCs w:val="21"/>
      </w:rPr>
    </w:lvl>
  </w:abstractNum>
  <w:abstractNum w:abstractNumId="19">
    <w:nsid w:val="5EAE553E"/>
    <w:multiLevelType w:val="singleLevel"/>
    <w:tmpl w:val="5EAE553E"/>
    <w:lvl w:ilvl="0" w:tentative="0">
      <w:start w:val="1"/>
      <w:numFmt w:val="decimal"/>
      <w:suff w:val="nothing"/>
      <w:lvlText w:val="%1）"/>
      <w:lvlJc w:val="left"/>
      <w:rPr>
        <w:rFonts w:hint="default" w:ascii="宋体" w:hAnsi="宋体" w:eastAsia="宋体" w:cs="宋体"/>
        <w:sz w:val="21"/>
        <w:szCs w:val="21"/>
      </w:rPr>
    </w:lvl>
  </w:abstractNum>
  <w:abstractNum w:abstractNumId="20">
    <w:nsid w:val="646260FA"/>
    <w:multiLevelType w:val="multilevel"/>
    <w:tmpl w:val="646260FA"/>
    <w:lvl w:ilvl="0" w:tentative="0">
      <w:start w:val="1"/>
      <w:numFmt w:val="decimal"/>
      <w:pStyle w:val="6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6A7F32DC"/>
    <w:multiLevelType w:val="singleLevel"/>
    <w:tmpl w:val="6A7F32DC"/>
    <w:lvl w:ilvl="0" w:tentative="0">
      <w:start w:val="1"/>
      <w:numFmt w:val="lowerLetter"/>
      <w:suff w:val="space"/>
      <w:lvlText w:val="%1）"/>
      <w:lvlJc w:val="left"/>
      <w:rPr>
        <w:rFonts w:hint="default" w:ascii="宋体" w:hAnsi="宋体" w:eastAsia="宋体" w:cs="宋体"/>
        <w:sz w:val="21"/>
        <w:szCs w:val="21"/>
      </w:rPr>
    </w:lvl>
  </w:abstractNum>
  <w:abstractNum w:abstractNumId="22">
    <w:nsid w:val="6A960DB7"/>
    <w:multiLevelType w:val="singleLevel"/>
    <w:tmpl w:val="6A960DB7"/>
    <w:lvl w:ilvl="0" w:tentative="0">
      <w:start w:val="1"/>
      <w:numFmt w:val="lowerLetter"/>
      <w:suff w:val="space"/>
      <w:lvlText w:val="%1）"/>
      <w:lvlJc w:val="left"/>
      <w:rPr>
        <w:rFonts w:hint="default" w:ascii="宋体" w:hAnsi="宋体" w:eastAsia="宋体" w:cs="宋体"/>
        <w:color w:val="auto"/>
        <w:sz w:val="21"/>
        <w:szCs w:val="21"/>
      </w:rPr>
    </w:lvl>
  </w:abstractNum>
  <w:abstractNum w:abstractNumId="2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8"/>
      <w:suff w:val="nothing"/>
      <w:lvlText w:val="%1%2　"/>
      <w:lvlJc w:val="left"/>
      <w:pPr>
        <w:ind w:left="0" w:firstLine="0"/>
      </w:pPr>
      <w:rPr>
        <w:rFonts w:hint="eastAsia" w:ascii="黑体" w:eastAsia="黑体"/>
        <w:b w:val="0"/>
        <w:i w:val="0"/>
        <w:sz w:val="21"/>
      </w:rPr>
    </w:lvl>
    <w:lvl w:ilvl="2" w:tentative="0">
      <w:start w:val="1"/>
      <w:numFmt w:val="decimal"/>
      <w:pStyle w:val="6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BF04F4"/>
    <w:multiLevelType w:val="multilevel"/>
    <w:tmpl w:val="6DBF04F4"/>
    <w:lvl w:ilvl="0" w:tentative="0">
      <w:start w:val="1"/>
      <w:numFmt w:val="none"/>
      <w:pStyle w:val="6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5">
    <w:nsid w:val="71A8054B"/>
    <w:multiLevelType w:val="multilevel"/>
    <w:tmpl w:val="71A8054B"/>
    <w:lvl w:ilvl="0" w:tentative="0">
      <w:start w:val="1"/>
      <w:numFmt w:val="lowerLetter"/>
      <w:pStyle w:val="57"/>
      <w:suff w:val="space"/>
      <w:lvlText w:val="%1）"/>
      <w:lvlJc w:val="left"/>
      <w:rPr>
        <w:rFonts w:hint="default" w:ascii="宋体" w:hAnsi="宋体" w:eastAsia="宋体" w:cs="宋体"/>
        <w:color w:val="auto"/>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6">
    <w:nsid w:val="7D9EA77D"/>
    <w:multiLevelType w:val="singleLevel"/>
    <w:tmpl w:val="7D9EA77D"/>
    <w:lvl w:ilvl="0" w:tentative="0">
      <w:start w:val="1"/>
      <w:numFmt w:val="lowerLetter"/>
      <w:suff w:val="space"/>
      <w:lvlText w:val="%1）"/>
      <w:lvlJc w:val="left"/>
      <w:rPr>
        <w:rFonts w:hint="default" w:ascii="宋体" w:hAnsi="宋体" w:eastAsia="宋体" w:cs="宋体"/>
        <w:sz w:val="21"/>
        <w:szCs w:val="21"/>
      </w:rPr>
    </w:lvl>
  </w:abstractNum>
  <w:abstractNum w:abstractNumId="27">
    <w:nsid w:val="7F5E2AB3"/>
    <w:multiLevelType w:val="singleLevel"/>
    <w:tmpl w:val="7F5E2AB3"/>
    <w:lvl w:ilvl="0" w:tentative="0">
      <w:start w:val="1"/>
      <w:numFmt w:val="lowerLetter"/>
      <w:suff w:val="space"/>
      <w:lvlText w:val="%1）"/>
      <w:lvlJc w:val="left"/>
      <w:rPr>
        <w:rFonts w:hint="default" w:ascii="宋体" w:hAnsi="宋体" w:eastAsia="宋体" w:cs="宋体"/>
        <w:color w:val="auto"/>
        <w:sz w:val="21"/>
        <w:szCs w:val="21"/>
      </w:rPr>
    </w:lvl>
  </w:abstractNum>
  <w:num w:numId="1">
    <w:abstractNumId w:val="9"/>
  </w:num>
  <w:num w:numId="2">
    <w:abstractNumId w:val="12"/>
  </w:num>
  <w:num w:numId="3">
    <w:abstractNumId w:val="25"/>
  </w:num>
  <w:num w:numId="4">
    <w:abstractNumId w:val="13"/>
  </w:num>
  <w:num w:numId="5">
    <w:abstractNumId w:val="24"/>
  </w:num>
  <w:num w:numId="6">
    <w:abstractNumId w:val="20"/>
  </w:num>
  <w:num w:numId="7">
    <w:abstractNumId w:val="23"/>
  </w:num>
  <w:num w:numId="8">
    <w:abstractNumId w:val="16"/>
  </w:num>
  <w:num w:numId="9">
    <w:abstractNumId w:val="8"/>
  </w:num>
  <w:num w:numId="10">
    <w:abstractNumId w:val="15"/>
  </w:num>
  <w:num w:numId="11">
    <w:abstractNumId w:val="26"/>
  </w:num>
  <w:num w:numId="12">
    <w:abstractNumId w:val="4"/>
  </w:num>
  <w:num w:numId="13">
    <w:abstractNumId w:val="17"/>
  </w:num>
  <w:num w:numId="14">
    <w:abstractNumId w:val="0"/>
  </w:num>
  <w:num w:numId="15">
    <w:abstractNumId w:val="19"/>
  </w:num>
  <w:num w:numId="16">
    <w:abstractNumId w:val="22"/>
  </w:num>
  <w:num w:numId="17">
    <w:abstractNumId w:val="18"/>
  </w:num>
  <w:num w:numId="18">
    <w:abstractNumId w:val="11"/>
  </w:num>
  <w:num w:numId="19">
    <w:abstractNumId w:val="7"/>
  </w:num>
  <w:num w:numId="20">
    <w:abstractNumId w:val="1"/>
  </w:num>
  <w:num w:numId="21">
    <w:abstractNumId w:val="2"/>
  </w:num>
  <w:num w:numId="22">
    <w:abstractNumId w:val="6"/>
  </w:num>
  <w:num w:numId="23">
    <w:abstractNumId w:val="27"/>
  </w:num>
  <w:num w:numId="24">
    <w:abstractNumId w:val="14"/>
  </w:num>
  <w:num w:numId="25">
    <w:abstractNumId w:val="5"/>
  </w:num>
  <w:num w:numId="26">
    <w:abstractNumId w:val="3"/>
  </w:num>
  <w:num w:numId="27">
    <w:abstractNumId w:val="21"/>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true"/>
  <w:bordersDoNotSurroundHeader w:val="true"/>
  <w:bordersDoNotSurroundFooter w:val="true"/>
  <w:documentProtection w:edit="trackedChanges" w:enforcement="0"/>
  <w:defaultTabStop w:val="420"/>
  <w:evenAndOddHeaders w:val="true"/>
  <w:drawingGridHorizontalSpacing w:val="105"/>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xMDg2ZDVmODAxZDIyMjVlZjY0Zjk3MTNiYWIwMTcifQ=="/>
    <w:docVar w:name="KSO_WPS_MARK_KEY" w:val="52548aae-2002-4139-9182-7b8689647ee4"/>
  </w:docVars>
  <w:rsids>
    <w:rsidRoot w:val="002C4A7A"/>
    <w:rsid w:val="00000C6F"/>
    <w:rsid w:val="00002D7A"/>
    <w:rsid w:val="00005817"/>
    <w:rsid w:val="00013861"/>
    <w:rsid w:val="000173A8"/>
    <w:rsid w:val="0001746B"/>
    <w:rsid w:val="00031630"/>
    <w:rsid w:val="0003782B"/>
    <w:rsid w:val="00037A2F"/>
    <w:rsid w:val="000505F8"/>
    <w:rsid w:val="000511AD"/>
    <w:rsid w:val="0005686E"/>
    <w:rsid w:val="00056E11"/>
    <w:rsid w:val="0006343E"/>
    <w:rsid w:val="00065304"/>
    <w:rsid w:val="00071463"/>
    <w:rsid w:val="00074CE1"/>
    <w:rsid w:val="00075ADA"/>
    <w:rsid w:val="00075B85"/>
    <w:rsid w:val="00076414"/>
    <w:rsid w:val="00076B38"/>
    <w:rsid w:val="00081105"/>
    <w:rsid w:val="000814DC"/>
    <w:rsid w:val="0008201D"/>
    <w:rsid w:val="0009093B"/>
    <w:rsid w:val="0009104A"/>
    <w:rsid w:val="00092A3E"/>
    <w:rsid w:val="000944B1"/>
    <w:rsid w:val="000946C9"/>
    <w:rsid w:val="0009741B"/>
    <w:rsid w:val="000A05E2"/>
    <w:rsid w:val="000A2853"/>
    <w:rsid w:val="000A7CB1"/>
    <w:rsid w:val="000B1AD2"/>
    <w:rsid w:val="000B5222"/>
    <w:rsid w:val="000C1F9F"/>
    <w:rsid w:val="000D3EF6"/>
    <w:rsid w:val="000D5C84"/>
    <w:rsid w:val="000E084D"/>
    <w:rsid w:val="000E4AD1"/>
    <w:rsid w:val="000F2CB4"/>
    <w:rsid w:val="0010314D"/>
    <w:rsid w:val="001103A2"/>
    <w:rsid w:val="001104FA"/>
    <w:rsid w:val="00110D5E"/>
    <w:rsid w:val="00110EC6"/>
    <w:rsid w:val="001128CB"/>
    <w:rsid w:val="00112AF7"/>
    <w:rsid w:val="00113409"/>
    <w:rsid w:val="001202C0"/>
    <w:rsid w:val="00120961"/>
    <w:rsid w:val="0012099B"/>
    <w:rsid w:val="00132EB8"/>
    <w:rsid w:val="00133094"/>
    <w:rsid w:val="00136C68"/>
    <w:rsid w:val="0014534C"/>
    <w:rsid w:val="001462B7"/>
    <w:rsid w:val="00147278"/>
    <w:rsid w:val="00147564"/>
    <w:rsid w:val="00147A7E"/>
    <w:rsid w:val="00147F7E"/>
    <w:rsid w:val="001516E1"/>
    <w:rsid w:val="00151C05"/>
    <w:rsid w:val="0015700F"/>
    <w:rsid w:val="0016095C"/>
    <w:rsid w:val="0016154E"/>
    <w:rsid w:val="00162EED"/>
    <w:rsid w:val="001720FB"/>
    <w:rsid w:val="00173651"/>
    <w:rsid w:val="0017564C"/>
    <w:rsid w:val="00175A7C"/>
    <w:rsid w:val="001760F7"/>
    <w:rsid w:val="00176E61"/>
    <w:rsid w:val="001851FA"/>
    <w:rsid w:val="00195C90"/>
    <w:rsid w:val="0019613E"/>
    <w:rsid w:val="001A0007"/>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64DE"/>
    <w:rsid w:val="001D70CD"/>
    <w:rsid w:val="001E0871"/>
    <w:rsid w:val="001E3D11"/>
    <w:rsid w:val="001E4804"/>
    <w:rsid w:val="001E7BD6"/>
    <w:rsid w:val="001F47C8"/>
    <w:rsid w:val="00211953"/>
    <w:rsid w:val="00215749"/>
    <w:rsid w:val="002209AC"/>
    <w:rsid w:val="00220A99"/>
    <w:rsid w:val="0022177D"/>
    <w:rsid w:val="00222916"/>
    <w:rsid w:val="00222A27"/>
    <w:rsid w:val="00223A5B"/>
    <w:rsid w:val="00223BD4"/>
    <w:rsid w:val="00230CF6"/>
    <w:rsid w:val="00230F2F"/>
    <w:rsid w:val="00241475"/>
    <w:rsid w:val="00247720"/>
    <w:rsid w:val="00251127"/>
    <w:rsid w:val="00251537"/>
    <w:rsid w:val="00251550"/>
    <w:rsid w:val="002517ED"/>
    <w:rsid w:val="002552A1"/>
    <w:rsid w:val="002607F7"/>
    <w:rsid w:val="00262444"/>
    <w:rsid w:val="002702FA"/>
    <w:rsid w:val="00271972"/>
    <w:rsid w:val="00276A28"/>
    <w:rsid w:val="002829F1"/>
    <w:rsid w:val="0028337F"/>
    <w:rsid w:val="00285357"/>
    <w:rsid w:val="00286986"/>
    <w:rsid w:val="00290F18"/>
    <w:rsid w:val="00293BD3"/>
    <w:rsid w:val="002950A9"/>
    <w:rsid w:val="00296094"/>
    <w:rsid w:val="00296D52"/>
    <w:rsid w:val="002A2A23"/>
    <w:rsid w:val="002A4D51"/>
    <w:rsid w:val="002A5A01"/>
    <w:rsid w:val="002A5BCE"/>
    <w:rsid w:val="002B3E52"/>
    <w:rsid w:val="002B5800"/>
    <w:rsid w:val="002C115A"/>
    <w:rsid w:val="002C253D"/>
    <w:rsid w:val="002C3A09"/>
    <w:rsid w:val="002C4A7A"/>
    <w:rsid w:val="002C57A0"/>
    <w:rsid w:val="002C639A"/>
    <w:rsid w:val="002D2351"/>
    <w:rsid w:val="002D38F3"/>
    <w:rsid w:val="002D49DC"/>
    <w:rsid w:val="002D54BC"/>
    <w:rsid w:val="002E5B5C"/>
    <w:rsid w:val="002F2052"/>
    <w:rsid w:val="002F2C23"/>
    <w:rsid w:val="002F3CCA"/>
    <w:rsid w:val="003017F7"/>
    <w:rsid w:val="00301D6E"/>
    <w:rsid w:val="0030224A"/>
    <w:rsid w:val="00302D0D"/>
    <w:rsid w:val="00304C82"/>
    <w:rsid w:val="00307015"/>
    <w:rsid w:val="00311B67"/>
    <w:rsid w:val="0031322E"/>
    <w:rsid w:val="00317DB9"/>
    <w:rsid w:val="00327834"/>
    <w:rsid w:val="00330DE3"/>
    <w:rsid w:val="00334AB6"/>
    <w:rsid w:val="00334B35"/>
    <w:rsid w:val="00334DA4"/>
    <w:rsid w:val="00335ABA"/>
    <w:rsid w:val="00337409"/>
    <w:rsid w:val="00340030"/>
    <w:rsid w:val="00340CAC"/>
    <w:rsid w:val="003422C6"/>
    <w:rsid w:val="003438AA"/>
    <w:rsid w:val="00344E14"/>
    <w:rsid w:val="0034543B"/>
    <w:rsid w:val="00346C04"/>
    <w:rsid w:val="00354DAE"/>
    <w:rsid w:val="00355096"/>
    <w:rsid w:val="003568F1"/>
    <w:rsid w:val="00362FF0"/>
    <w:rsid w:val="003662BC"/>
    <w:rsid w:val="00366853"/>
    <w:rsid w:val="00366DB7"/>
    <w:rsid w:val="00367200"/>
    <w:rsid w:val="0037136A"/>
    <w:rsid w:val="003720DC"/>
    <w:rsid w:val="00375FCF"/>
    <w:rsid w:val="00387FF8"/>
    <w:rsid w:val="00393266"/>
    <w:rsid w:val="003A0DBB"/>
    <w:rsid w:val="003A19C6"/>
    <w:rsid w:val="003A238B"/>
    <w:rsid w:val="003B6878"/>
    <w:rsid w:val="003C0E5B"/>
    <w:rsid w:val="003C2C65"/>
    <w:rsid w:val="003C31B0"/>
    <w:rsid w:val="003D0151"/>
    <w:rsid w:val="003D13FA"/>
    <w:rsid w:val="003D1497"/>
    <w:rsid w:val="003E0580"/>
    <w:rsid w:val="003E28CE"/>
    <w:rsid w:val="003F714F"/>
    <w:rsid w:val="00407B9E"/>
    <w:rsid w:val="004139C3"/>
    <w:rsid w:val="00413AB9"/>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6207F"/>
    <w:rsid w:val="00471508"/>
    <w:rsid w:val="00483C8B"/>
    <w:rsid w:val="004926A0"/>
    <w:rsid w:val="00495E4E"/>
    <w:rsid w:val="004A0644"/>
    <w:rsid w:val="004A132F"/>
    <w:rsid w:val="004A1A4D"/>
    <w:rsid w:val="004A2815"/>
    <w:rsid w:val="004A6AB6"/>
    <w:rsid w:val="004B01AE"/>
    <w:rsid w:val="004B12F5"/>
    <w:rsid w:val="004B2D06"/>
    <w:rsid w:val="004B3880"/>
    <w:rsid w:val="004B499B"/>
    <w:rsid w:val="004B540D"/>
    <w:rsid w:val="004C2F70"/>
    <w:rsid w:val="004C369E"/>
    <w:rsid w:val="004C5E71"/>
    <w:rsid w:val="004D09E4"/>
    <w:rsid w:val="004D424C"/>
    <w:rsid w:val="004D5B9A"/>
    <w:rsid w:val="004E01DA"/>
    <w:rsid w:val="004E3E2D"/>
    <w:rsid w:val="004E4186"/>
    <w:rsid w:val="004E4DE6"/>
    <w:rsid w:val="004F0C75"/>
    <w:rsid w:val="004F3DCC"/>
    <w:rsid w:val="00501A17"/>
    <w:rsid w:val="00502219"/>
    <w:rsid w:val="00506EF4"/>
    <w:rsid w:val="005102EF"/>
    <w:rsid w:val="005105CC"/>
    <w:rsid w:val="005107F6"/>
    <w:rsid w:val="00510EBE"/>
    <w:rsid w:val="005122CD"/>
    <w:rsid w:val="00515927"/>
    <w:rsid w:val="00520237"/>
    <w:rsid w:val="00523728"/>
    <w:rsid w:val="00524CE2"/>
    <w:rsid w:val="00526F25"/>
    <w:rsid w:val="0053086A"/>
    <w:rsid w:val="00534D92"/>
    <w:rsid w:val="00535227"/>
    <w:rsid w:val="00536AD1"/>
    <w:rsid w:val="00540818"/>
    <w:rsid w:val="00542910"/>
    <w:rsid w:val="00546657"/>
    <w:rsid w:val="0054710E"/>
    <w:rsid w:val="00554600"/>
    <w:rsid w:val="0055478B"/>
    <w:rsid w:val="005606B4"/>
    <w:rsid w:val="00563D0F"/>
    <w:rsid w:val="005701EA"/>
    <w:rsid w:val="00575480"/>
    <w:rsid w:val="005755D5"/>
    <w:rsid w:val="00591331"/>
    <w:rsid w:val="005928C2"/>
    <w:rsid w:val="00596070"/>
    <w:rsid w:val="005A00CA"/>
    <w:rsid w:val="005A2C7F"/>
    <w:rsid w:val="005A4975"/>
    <w:rsid w:val="005A60AC"/>
    <w:rsid w:val="005B4BD1"/>
    <w:rsid w:val="005B6D29"/>
    <w:rsid w:val="005B7513"/>
    <w:rsid w:val="005C2473"/>
    <w:rsid w:val="005C370B"/>
    <w:rsid w:val="005C6CD2"/>
    <w:rsid w:val="005D3D7D"/>
    <w:rsid w:val="005E015F"/>
    <w:rsid w:val="005E1CA7"/>
    <w:rsid w:val="005F2DCC"/>
    <w:rsid w:val="005F5CFF"/>
    <w:rsid w:val="00600F7C"/>
    <w:rsid w:val="006045C0"/>
    <w:rsid w:val="00610AF4"/>
    <w:rsid w:val="00613357"/>
    <w:rsid w:val="0061381F"/>
    <w:rsid w:val="00616AFA"/>
    <w:rsid w:val="00621AD2"/>
    <w:rsid w:val="00621C5C"/>
    <w:rsid w:val="00626507"/>
    <w:rsid w:val="0062656D"/>
    <w:rsid w:val="00633884"/>
    <w:rsid w:val="00635FE2"/>
    <w:rsid w:val="00637850"/>
    <w:rsid w:val="00640CD9"/>
    <w:rsid w:val="00646C9D"/>
    <w:rsid w:val="006476F3"/>
    <w:rsid w:val="0065660B"/>
    <w:rsid w:val="00662568"/>
    <w:rsid w:val="006661CB"/>
    <w:rsid w:val="006665D4"/>
    <w:rsid w:val="00671C37"/>
    <w:rsid w:val="006738FB"/>
    <w:rsid w:val="00673C24"/>
    <w:rsid w:val="006763FD"/>
    <w:rsid w:val="00677CD8"/>
    <w:rsid w:val="006839CD"/>
    <w:rsid w:val="006867E4"/>
    <w:rsid w:val="00686AB4"/>
    <w:rsid w:val="00687FF9"/>
    <w:rsid w:val="00694817"/>
    <w:rsid w:val="00694CF0"/>
    <w:rsid w:val="00695FD6"/>
    <w:rsid w:val="006965B2"/>
    <w:rsid w:val="00697323"/>
    <w:rsid w:val="006A3337"/>
    <w:rsid w:val="006A3A00"/>
    <w:rsid w:val="006A587D"/>
    <w:rsid w:val="006B00F8"/>
    <w:rsid w:val="006B0EDD"/>
    <w:rsid w:val="006B4E4A"/>
    <w:rsid w:val="006C1173"/>
    <w:rsid w:val="006D1713"/>
    <w:rsid w:val="006D3593"/>
    <w:rsid w:val="006D384B"/>
    <w:rsid w:val="006D7F23"/>
    <w:rsid w:val="006E42DF"/>
    <w:rsid w:val="006E6B90"/>
    <w:rsid w:val="006F052F"/>
    <w:rsid w:val="006F19EF"/>
    <w:rsid w:val="00705B6D"/>
    <w:rsid w:val="0070744F"/>
    <w:rsid w:val="007078CB"/>
    <w:rsid w:val="00711444"/>
    <w:rsid w:val="00716D47"/>
    <w:rsid w:val="0071793C"/>
    <w:rsid w:val="00717C25"/>
    <w:rsid w:val="00720335"/>
    <w:rsid w:val="00721D42"/>
    <w:rsid w:val="00723CE8"/>
    <w:rsid w:val="00724CC3"/>
    <w:rsid w:val="007324F2"/>
    <w:rsid w:val="00732A61"/>
    <w:rsid w:val="00732CFF"/>
    <w:rsid w:val="00732DD3"/>
    <w:rsid w:val="00733FAB"/>
    <w:rsid w:val="00734A6B"/>
    <w:rsid w:val="00736BCB"/>
    <w:rsid w:val="007373F7"/>
    <w:rsid w:val="007404DC"/>
    <w:rsid w:val="0074159C"/>
    <w:rsid w:val="0074173E"/>
    <w:rsid w:val="00741CBE"/>
    <w:rsid w:val="00743636"/>
    <w:rsid w:val="00751B91"/>
    <w:rsid w:val="007524D7"/>
    <w:rsid w:val="00754A67"/>
    <w:rsid w:val="007569D0"/>
    <w:rsid w:val="00760D71"/>
    <w:rsid w:val="00762676"/>
    <w:rsid w:val="00762B36"/>
    <w:rsid w:val="0076679E"/>
    <w:rsid w:val="007667E9"/>
    <w:rsid w:val="0076759A"/>
    <w:rsid w:val="007747B0"/>
    <w:rsid w:val="00775703"/>
    <w:rsid w:val="0077630C"/>
    <w:rsid w:val="00777F91"/>
    <w:rsid w:val="00784961"/>
    <w:rsid w:val="007906E7"/>
    <w:rsid w:val="00790CFC"/>
    <w:rsid w:val="00793C9B"/>
    <w:rsid w:val="007A262B"/>
    <w:rsid w:val="007A325E"/>
    <w:rsid w:val="007A69E6"/>
    <w:rsid w:val="007B6ABC"/>
    <w:rsid w:val="007B71FE"/>
    <w:rsid w:val="007B7740"/>
    <w:rsid w:val="007C5205"/>
    <w:rsid w:val="007C6FAF"/>
    <w:rsid w:val="007C72D7"/>
    <w:rsid w:val="007D209B"/>
    <w:rsid w:val="007D6D20"/>
    <w:rsid w:val="007D77B7"/>
    <w:rsid w:val="007E1F24"/>
    <w:rsid w:val="007E22EA"/>
    <w:rsid w:val="007E3332"/>
    <w:rsid w:val="007E451F"/>
    <w:rsid w:val="007E4FFE"/>
    <w:rsid w:val="007F0AD4"/>
    <w:rsid w:val="007F0CE2"/>
    <w:rsid w:val="007F3D33"/>
    <w:rsid w:val="007F672C"/>
    <w:rsid w:val="007F7E53"/>
    <w:rsid w:val="008029D3"/>
    <w:rsid w:val="008034D8"/>
    <w:rsid w:val="00803B33"/>
    <w:rsid w:val="0080474D"/>
    <w:rsid w:val="00804961"/>
    <w:rsid w:val="008062A9"/>
    <w:rsid w:val="0081659D"/>
    <w:rsid w:val="008204BD"/>
    <w:rsid w:val="00820C60"/>
    <w:rsid w:val="00822BEB"/>
    <w:rsid w:val="008237E6"/>
    <w:rsid w:val="00823FD0"/>
    <w:rsid w:val="00827766"/>
    <w:rsid w:val="008338C4"/>
    <w:rsid w:val="00842185"/>
    <w:rsid w:val="008423AD"/>
    <w:rsid w:val="00842806"/>
    <w:rsid w:val="00844C83"/>
    <w:rsid w:val="0084707B"/>
    <w:rsid w:val="0085002F"/>
    <w:rsid w:val="0085316A"/>
    <w:rsid w:val="008570AF"/>
    <w:rsid w:val="008601C4"/>
    <w:rsid w:val="0086279F"/>
    <w:rsid w:val="00864F8B"/>
    <w:rsid w:val="00866237"/>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01AC"/>
    <w:rsid w:val="008B2AA1"/>
    <w:rsid w:val="008B4744"/>
    <w:rsid w:val="008B4CD3"/>
    <w:rsid w:val="008B694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3710"/>
    <w:rsid w:val="00914E1E"/>
    <w:rsid w:val="00921323"/>
    <w:rsid w:val="0092183B"/>
    <w:rsid w:val="00922BBD"/>
    <w:rsid w:val="00922FAC"/>
    <w:rsid w:val="009304BF"/>
    <w:rsid w:val="0093098A"/>
    <w:rsid w:val="00932FD3"/>
    <w:rsid w:val="00941A12"/>
    <w:rsid w:val="00941B18"/>
    <w:rsid w:val="009449CC"/>
    <w:rsid w:val="00945592"/>
    <w:rsid w:val="00953360"/>
    <w:rsid w:val="009534B7"/>
    <w:rsid w:val="0095564A"/>
    <w:rsid w:val="0095703E"/>
    <w:rsid w:val="0096181B"/>
    <w:rsid w:val="00961EC7"/>
    <w:rsid w:val="00970C6E"/>
    <w:rsid w:val="00971CF4"/>
    <w:rsid w:val="00975728"/>
    <w:rsid w:val="009856E2"/>
    <w:rsid w:val="00992159"/>
    <w:rsid w:val="0099488E"/>
    <w:rsid w:val="009956AD"/>
    <w:rsid w:val="00996CA4"/>
    <w:rsid w:val="009A18CB"/>
    <w:rsid w:val="009A34C4"/>
    <w:rsid w:val="009A614E"/>
    <w:rsid w:val="009A67D7"/>
    <w:rsid w:val="009A7D1D"/>
    <w:rsid w:val="009B0D41"/>
    <w:rsid w:val="009B2735"/>
    <w:rsid w:val="009B5AFA"/>
    <w:rsid w:val="009B6DC7"/>
    <w:rsid w:val="009B7156"/>
    <w:rsid w:val="009C15D7"/>
    <w:rsid w:val="009C19BD"/>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46E70"/>
    <w:rsid w:val="00A516F3"/>
    <w:rsid w:val="00A52074"/>
    <w:rsid w:val="00A561C6"/>
    <w:rsid w:val="00A6158D"/>
    <w:rsid w:val="00A618FE"/>
    <w:rsid w:val="00A62CE9"/>
    <w:rsid w:val="00A634E6"/>
    <w:rsid w:val="00A66329"/>
    <w:rsid w:val="00A7056C"/>
    <w:rsid w:val="00A713B5"/>
    <w:rsid w:val="00A72B72"/>
    <w:rsid w:val="00A73768"/>
    <w:rsid w:val="00A74635"/>
    <w:rsid w:val="00A8411C"/>
    <w:rsid w:val="00A87B13"/>
    <w:rsid w:val="00A92BF9"/>
    <w:rsid w:val="00A96125"/>
    <w:rsid w:val="00AA0DC4"/>
    <w:rsid w:val="00AA377C"/>
    <w:rsid w:val="00AA425D"/>
    <w:rsid w:val="00AA7A5B"/>
    <w:rsid w:val="00AB2CAF"/>
    <w:rsid w:val="00AB64F6"/>
    <w:rsid w:val="00AC06A8"/>
    <w:rsid w:val="00AC7074"/>
    <w:rsid w:val="00AD00A8"/>
    <w:rsid w:val="00AD428E"/>
    <w:rsid w:val="00AD74A7"/>
    <w:rsid w:val="00AE49BE"/>
    <w:rsid w:val="00AE55AC"/>
    <w:rsid w:val="00AE5F8A"/>
    <w:rsid w:val="00AF32CB"/>
    <w:rsid w:val="00AF53DB"/>
    <w:rsid w:val="00AF7AFE"/>
    <w:rsid w:val="00B01237"/>
    <w:rsid w:val="00B02086"/>
    <w:rsid w:val="00B06017"/>
    <w:rsid w:val="00B06D12"/>
    <w:rsid w:val="00B10919"/>
    <w:rsid w:val="00B1286A"/>
    <w:rsid w:val="00B1318E"/>
    <w:rsid w:val="00B17747"/>
    <w:rsid w:val="00B21CF9"/>
    <w:rsid w:val="00B309C2"/>
    <w:rsid w:val="00B31875"/>
    <w:rsid w:val="00B319F3"/>
    <w:rsid w:val="00B32421"/>
    <w:rsid w:val="00B325A4"/>
    <w:rsid w:val="00B33754"/>
    <w:rsid w:val="00B36BE0"/>
    <w:rsid w:val="00B37391"/>
    <w:rsid w:val="00B4087E"/>
    <w:rsid w:val="00B42D11"/>
    <w:rsid w:val="00B42FF5"/>
    <w:rsid w:val="00B450A3"/>
    <w:rsid w:val="00B61230"/>
    <w:rsid w:val="00B61250"/>
    <w:rsid w:val="00B618E8"/>
    <w:rsid w:val="00B634DB"/>
    <w:rsid w:val="00B64FF7"/>
    <w:rsid w:val="00B66014"/>
    <w:rsid w:val="00B759FB"/>
    <w:rsid w:val="00B857D0"/>
    <w:rsid w:val="00B90702"/>
    <w:rsid w:val="00B97265"/>
    <w:rsid w:val="00BA4A44"/>
    <w:rsid w:val="00BA4CDD"/>
    <w:rsid w:val="00BA70BA"/>
    <w:rsid w:val="00BA7E3E"/>
    <w:rsid w:val="00BB0517"/>
    <w:rsid w:val="00BC34A7"/>
    <w:rsid w:val="00BC4E62"/>
    <w:rsid w:val="00BC6585"/>
    <w:rsid w:val="00BC76F2"/>
    <w:rsid w:val="00BC79B6"/>
    <w:rsid w:val="00BD18D9"/>
    <w:rsid w:val="00BD3F71"/>
    <w:rsid w:val="00BD44B5"/>
    <w:rsid w:val="00BE3C8C"/>
    <w:rsid w:val="00BE537A"/>
    <w:rsid w:val="00BE6581"/>
    <w:rsid w:val="00BE7445"/>
    <w:rsid w:val="00BF4AEF"/>
    <w:rsid w:val="00C042FA"/>
    <w:rsid w:val="00C1161C"/>
    <w:rsid w:val="00C16AD7"/>
    <w:rsid w:val="00C16B1E"/>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5339C"/>
    <w:rsid w:val="00C5642B"/>
    <w:rsid w:val="00C624AE"/>
    <w:rsid w:val="00C657CE"/>
    <w:rsid w:val="00C65B45"/>
    <w:rsid w:val="00C672AB"/>
    <w:rsid w:val="00C67BC0"/>
    <w:rsid w:val="00C67E2D"/>
    <w:rsid w:val="00C7008A"/>
    <w:rsid w:val="00C7202D"/>
    <w:rsid w:val="00C72B93"/>
    <w:rsid w:val="00C7460A"/>
    <w:rsid w:val="00C774B2"/>
    <w:rsid w:val="00C83947"/>
    <w:rsid w:val="00C84D5C"/>
    <w:rsid w:val="00C91A53"/>
    <w:rsid w:val="00C93A0F"/>
    <w:rsid w:val="00C93CF3"/>
    <w:rsid w:val="00C96ED5"/>
    <w:rsid w:val="00CA2979"/>
    <w:rsid w:val="00CA3ECD"/>
    <w:rsid w:val="00CA5E90"/>
    <w:rsid w:val="00CB084A"/>
    <w:rsid w:val="00CB251A"/>
    <w:rsid w:val="00CB69C0"/>
    <w:rsid w:val="00CB6A26"/>
    <w:rsid w:val="00CC212B"/>
    <w:rsid w:val="00CE0575"/>
    <w:rsid w:val="00CE1209"/>
    <w:rsid w:val="00CE274E"/>
    <w:rsid w:val="00CE5A6D"/>
    <w:rsid w:val="00CF2291"/>
    <w:rsid w:val="00CF2F63"/>
    <w:rsid w:val="00CF491A"/>
    <w:rsid w:val="00D069E0"/>
    <w:rsid w:val="00D137EA"/>
    <w:rsid w:val="00D169F2"/>
    <w:rsid w:val="00D20D83"/>
    <w:rsid w:val="00D2420F"/>
    <w:rsid w:val="00D256C0"/>
    <w:rsid w:val="00D32A80"/>
    <w:rsid w:val="00D353B0"/>
    <w:rsid w:val="00D403C5"/>
    <w:rsid w:val="00D4067E"/>
    <w:rsid w:val="00D4585F"/>
    <w:rsid w:val="00D47CAE"/>
    <w:rsid w:val="00D50BA3"/>
    <w:rsid w:val="00D53255"/>
    <w:rsid w:val="00D54EFA"/>
    <w:rsid w:val="00D6138F"/>
    <w:rsid w:val="00D613A5"/>
    <w:rsid w:val="00D624B9"/>
    <w:rsid w:val="00D6371B"/>
    <w:rsid w:val="00D642F5"/>
    <w:rsid w:val="00D64F57"/>
    <w:rsid w:val="00D7138D"/>
    <w:rsid w:val="00D7526C"/>
    <w:rsid w:val="00D770FC"/>
    <w:rsid w:val="00D77234"/>
    <w:rsid w:val="00D80501"/>
    <w:rsid w:val="00D81394"/>
    <w:rsid w:val="00D82285"/>
    <w:rsid w:val="00D85470"/>
    <w:rsid w:val="00D86D72"/>
    <w:rsid w:val="00D914B1"/>
    <w:rsid w:val="00D91668"/>
    <w:rsid w:val="00D965AB"/>
    <w:rsid w:val="00D965BD"/>
    <w:rsid w:val="00D97E06"/>
    <w:rsid w:val="00DA7326"/>
    <w:rsid w:val="00DA73EE"/>
    <w:rsid w:val="00DA762D"/>
    <w:rsid w:val="00DB3696"/>
    <w:rsid w:val="00DC418F"/>
    <w:rsid w:val="00DD1690"/>
    <w:rsid w:val="00DD25D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2501A"/>
    <w:rsid w:val="00E3004D"/>
    <w:rsid w:val="00E31B6C"/>
    <w:rsid w:val="00E324B0"/>
    <w:rsid w:val="00E33110"/>
    <w:rsid w:val="00E3509B"/>
    <w:rsid w:val="00E3537D"/>
    <w:rsid w:val="00E36C78"/>
    <w:rsid w:val="00E401C4"/>
    <w:rsid w:val="00E429D4"/>
    <w:rsid w:val="00E42F0F"/>
    <w:rsid w:val="00E45044"/>
    <w:rsid w:val="00E504BD"/>
    <w:rsid w:val="00E53737"/>
    <w:rsid w:val="00E537D1"/>
    <w:rsid w:val="00E55655"/>
    <w:rsid w:val="00E60C4B"/>
    <w:rsid w:val="00E621A8"/>
    <w:rsid w:val="00E72AA8"/>
    <w:rsid w:val="00E72BBB"/>
    <w:rsid w:val="00E74FFE"/>
    <w:rsid w:val="00E75EA0"/>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D5EC0"/>
    <w:rsid w:val="00EE07BC"/>
    <w:rsid w:val="00EE2AFA"/>
    <w:rsid w:val="00EE4615"/>
    <w:rsid w:val="00EE4642"/>
    <w:rsid w:val="00EE6793"/>
    <w:rsid w:val="00EF01B0"/>
    <w:rsid w:val="00EF0721"/>
    <w:rsid w:val="00EF20A1"/>
    <w:rsid w:val="00EF7E70"/>
    <w:rsid w:val="00F12CCA"/>
    <w:rsid w:val="00F16A12"/>
    <w:rsid w:val="00F16BA1"/>
    <w:rsid w:val="00F200FB"/>
    <w:rsid w:val="00F233DA"/>
    <w:rsid w:val="00F26471"/>
    <w:rsid w:val="00F31218"/>
    <w:rsid w:val="00F435EB"/>
    <w:rsid w:val="00F535DE"/>
    <w:rsid w:val="00F55043"/>
    <w:rsid w:val="00F57198"/>
    <w:rsid w:val="00F61AE2"/>
    <w:rsid w:val="00F63CB5"/>
    <w:rsid w:val="00F64E68"/>
    <w:rsid w:val="00F65D80"/>
    <w:rsid w:val="00F7039A"/>
    <w:rsid w:val="00F71261"/>
    <w:rsid w:val="00F72E0D"/>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51FF"/>
    <w:rsid w:val="00FC741B"/>
    <w:rsid w:val="00FC7C26"/>
    <w:rsid w:val="00FD0995"/>
    <w:rsid w:val="00FD4916"/>
    <w:rsid w:val="00FD6E30"/>
    <w:rsid w:val="00FE06BE"/>
    <w:rsid w:val="00FE26D3"/>
    <w:rsid w:val="00FE6BAA"/>
    <w:rsid w:val="00FE7CB2"/>
    <w:rsid w:val="00FF2E8A"/>
    <w:rsid w:val="00FF3100"/>
    <w:rsid w:val="00FF47E6"/>
    <w:rsid w:val="00FF496E"/>
    <w:rsid w:val="01B97F5E"/>
    <w:rsid w:val="02670DCF"/>
    <w:rsid w:val="02AE0562"/>
    <w:rsid w:val="034D2939"/>
    <w:rsid w:val="043164D2"/>
    <w:rsid w:val="04DB69C7"/>
    <w:rsid w:val="056C2AC8"/>
    <w:rsid w:val="05705202"/>
    <w:rsid w:val="05FC2CEC"/>
    <w:rsid w:val="078D3A1F"/>
    <w:rsid w:val="082E197B"/>
    <w:rsid w:val="08D94A4A"/>
    <w:rsid w:val="09332050"/>
    <w:rsid w:val="09652865"/>
    <w:rsid w:val="097D3D26"/>
    <w:rsid w:val="09AC36B1"/>
    <w:rsid w:val="09D61639"/>
    <w:rsid w:val="0ADA2F69"/>
    <w:rsid w:val="0ADE6740"/>
    <w:rsid w:val="0AE10BBF"/>
    <w:rsid w:val="0B4B7E79"/>
    <w:rsid w:val="0B83724C"/>
    <w:rsid w:val="0BBA5614"/>
    <w:rsid w:val="0BBD0185"/>
    <w:rsid w:val="0D011260"/>
    <w:rsid w:val="0D605732"/>
    <w:rsid w:val="0D831CDC"/>
    <w:rsid w:val="0E572FD9"/>
    <w:rsid w:val="0EF32D02"/>
    <w:rsid w:val="0F5D4929"/>
    <w:rsid w:val="10714758"/>
    <w:rsid w:val="10F22B45"/>
    <w:rsid w:val="11124F95"/>
    <w:rsid w:val="112F5B47"/>
    <w:rsid w:val="11EA4A5D"/>
    <w:rsid w:val="123426ED"/>
    <w:rsid w:val="1330335A"/>
    <w:rsid w:val="13492913"/>
    <w:rsid w:val="140915D6"/>
    <w:rsid w:val="141A4D4E"/>
    <w:rsid w:val="14AB42D7"/>
    <w:rsid w:val="15082475"/>
    <w:rsid w:val="152A0AFF"/>
    <w:rsid w:val="157955E3"/>
    <w:rsid w:val="159863B1"/>
    <w:rsid w:val="1614131D"/>
    <w:rsid w:val="16585639"/>
    <w:rsid w:val="16B6476F"/>
    <w:rsid w:val="1986454E"/>
    <w:rsid w:val="19BD2F50"/>
    <w:rsid w:val="19D653D3"/>
    <w:rsid w:val="19E576EB"/>
    <w:rsid w:val="1A276761"/>
    <w:rsid w:val="1A9F3EA8"/>
    <w:rsid w:val="1AE557D7"/>
    <w:rsid w:val="1AF62448"/>
    <w:rsid w:val="1C297D63"/>
    <w:rsid w:val="1C795260"/>
    <w:rsid w:val="1C9D2195"/>
    <w:rsid w:val="1CE617B0"/>
    <w:rsid w:val="1D475092"/>
    <w:rsid w:val="1E901E0D"/>
    <w:rsid w:val="1EFC4C0E"/>
    <w:rsid w:val="1F323586"/>
    <w:rsid w:val="1F3709E9"/>
    <w:rsid w:val="1F5511FE"/>
    <w:rsid w:val="1F791B4A"/>
    <w:rsid w:val="1FF922F7"/>
    <w:rsid w:val="203A6C9D"/>
    <w:rsid w:val="20487CB7"/>
    <w:rsid w:val="213D7067"/>
    <w:rsid w:val="22192627"/>
    <w:rsid w:val="22DB4492"/>
    <w:rsid w:val="235D1A58"/>
    <w:rsid w:val="23893375"/>
    <w:rsid w:val="23934C2B"/>
    <w:rsid w:val="23D049E7"/>
    <w:rsid w:val="240D1D18"/>
    <w:rsid w:val="24A9018D"/>
    <w:rsid w:val="24F31A54"/>
    <w:rsid w:val="262E49A9"/>
    <w:rsid w:val="26415CA9"/>
    <w:rsid w:val="26F31699"/>
    <w:rsid w:val="28B05A8E"/>
    <w:rsid w:val="291C47AB"/>
    <w:rsid w:val="299E589B"/>
    <w:rsid w:val="29DD2289"/>
    <w:rsid w:val="2A0674B9"/>
    <w:rsid w:val="2A19342E"/>
    <w:rsid w:val="2A9E6EDA"/>
    <w:rsid w:val="2AC259E9"/>
    <w:rsid w:val="2B5F5209"/>
    <w:rsid w:val="2C424529"/>
    <w:rsid w:val="2E1843DC"/>
    <w:rsid w:val="2E6A0BA9"/>
    <w:rsid w:val="2F033AB7"/>
    <w:rsid w:val="2F1C72B3"/>
    <w:rsid w:val="2FA03C59"/>
    <w:rsid w:val="2FC604F2"/>
    <w:rsid w:val="30512DC8"/>
    <w:rsid w:val="305807BF"/>
    <w:rsid w:val="307B65DD"/>
    <w:rsid w:val="30BA0FA5"/>
    <w:rsid w:val="32697E49"/>
    <w:rsid w:val="34360E17"/>
    <w:rsid w:val="34AA1088"/>
    <w:rsid w:val="34E1639F"/>
    <w:rsid w:val="355276CD"/>
    <w:rsid w:val="37875802"/>
    <w:rsid w:val="38F716E5"/>
    <w:rsid w:val="396226AE"/>
    <w:rsid w:val="397A5D84"/>
    <w:rsid w:val="39BF7CCB"/>
    <w:rsid w:val="3A38257A"/>
    <w:rsid w:val="3A773D1D"/>
    <w:rsid w:val="3AA47EC1"/>
    <w:rsid w:val="3B337E5E"/>
    <w:rsid w:val="3C0C2E90"/>
    <w:rsid w:val="3C153A08"/>
    <w:rsid w:val="3D6F398A"/>
    <w:rsid w:val="3D9E1027"/>
    <w:rsid w:val="3DEA3508"/>
    <w:rsid w:val="3E6447D3"/>
    <w:rsid w:val="3F5C4B2D"/>
    <w:rsid w:val="3FCB4391"/>
    <w:rsid w:val="407103DB"/>
    <w:rsid w:val="407B688E"/>
    <w:rsid w:val="40F26625"/>
    <w:rsid w:val="41DD26A1"/>
    <w:rsid w:val="432D5ADB"/>
    <w:rsid w:val="43C1140E"/>
    <w:rsid w:val="43FB44E7"/>
    <w:rsid w:val="44A14E43"/>
    <w:rsid w:val="44E67CEF"/>
    <w:rsid w:val="455B5C08"/>
    <w:rsid w:val="459E4A6E"/>
    <w:rsid w:val="45E5444B"/>
    <w:rsid w:val="45F10943"/>
    <w:rsid w:val="46024881"/>
    <w:rsid w:val="46432AD9"/>
    <w:rsid w:val="47645658"/>
    <w:rsid w:val="48046607"/>
    <w:rsid w:val="48634CDA"/>
    <w:rsid w:val="48646B21"/>
    <w:rsid w:val="48C6265B"/>
    <w:rsid w:val="491679AE"/>
    <w:rsid w:val="4958211B"/>
    <w:rsid w:val="49C67C64"/>
    <w:rsid w:val="4CC8541E"/>
    <w:rsid w:val="4D0B0C3B"/>
    <w:rsid w:val="4D7C7F66"/>
    <w:rsid w:val="4E497F1B"/>
    <w:rsid w:val="4E6203AB"/>
    <w:rsid w:val="4E72372F"/>
    <w:rsid w:val="4E826BA1"/>
    <w:rsid w:val="4FB262DF"/>
    <w:rsid w:val="4FC155E1"/>
    <w:rsid w:val="502913D8"/>
    <w:rsid w:val="50687515"/>
    <w:rsid w:val="506A1CDA"/>
    <w:rsid w:val="513145D7"/>
    <w:rsid w:val="51DB264E"/>
    <w:rsid w:val="51E57A85"/>
    <w:rsid w:val="52013E99"/>
    <w:rsid w:val="52884ADC"/>
    <w:rsid w:val="54EF45B2"/>
    <w:rsid w:val="560F58F2"/>
    <w:rsid w:val="561C68FE"/>
    <w:rsid w:val="56FA05E0"/>
    <w:rsid w:val="57205312"/>
    <w:rsid w:val="575B4970"/>
    <w:rsid w:val="58953240"/>
    <w:rsid w:val="58D66C97"/>
    <w:rsid w:val="58EA0B58"/>
    <w:rsid w:val="58FF5315"/>
    <w:rsid w:val="597102CD"/>
    <w:rsid w:val="5AA42EE1"/>
    <w:rsid w:val="5AB165F4"/>
    <w:rsid w:val="5AB20E18"/>
    <w:rsid w:val="5AC02939"/>
    <w:rsid w:val="5ADD04B0"/>
    <w:rsid w:val="5B6068E3"/>
    <w:rsid w:val="5BE57F51"/>
    <w:rsid w:val="5C4F0418"/>
    <w:rsid w:val="5D306512"/>
    <w:rsid w:val="5D7D0589"/>
    <w:rsid w:val="5E127A94"/>
    <w:rsid w:val="5E555AFA"/>
    <w:rsid w:val="5EC2103E"/>
    <w:rsid w:val="5F3651D2"/>
    <w:rsid w:val="5F7C3986"/>
    <w:rsid w:val="61E0223F"/>
    <w:rsid w:val="62275A9D"/>
    <w:rsid w:val="62A274F4"/>
    <w:rsid w:val="63452AE3"/>
    <w:rsid w:val="63473BF7"/>
    <w:rsid w:val="64490C49"/>
    <w:rsid w:val="64A24BA8"/>
    <w:rsid w:val="66832C22"/>
    <w:rsid w:val="66910CA5"/>
    <w:rsid w:val="671F5AC8"/>
    <w:rsid w:val="67451519"/>
    <w:rsid w:val="67DF9DD1"/>
    <w:rsid w:val="684150B9"/>
    <w:rsid w:val="68706054"/>
    <w:rsid w:val="688A0DE6"/>
    <w:rsid w:val="68917B90"/>
    <w:rsid w:val="68F02F9E"/>
    <w:rsid w:val="691D1DC4"/>
    <w:rsid w:val="696B71DF"/>
    <w:rsid w:val="69CF4947"/>
    <w:rsid w:val="6A4626EF"/>
    <w:rsid w:val="6A7C706D"/>
    <w:rsid w:val="6ADF74D7"/>
    <w:rsid w:val="6BCA186A"/>
    <w:rsid w:val="6BDB54D8"/>
    <w:rsid w:val="6C0563E5"/>
    <w:rsid w:val="6C5D623A"/>
    <w:rsid w:val="6C6C0C3F"/>
    <w:rsid w:val="6C89702F"/>
    <w:rsid w:val="6C917B8F"/>
    <w:rsid w:val="6D0D7C60"/>
    <w:rsid w:val="6DAD049D"/>
    <w:rsid w:val="6E9248C1"/>
    <w:rsid w:val="6ECD387A"/>
    <w:rsid w:val="6F2F03DB"/>
    <w:rsid w:val="6FF139B8"/>
    <w:rsid w:val="70064409"/>
    <w:rsid w:val="712B6906"/>
    <w:rsid w:val="71F907B3"/>
    <w:rsid w:val="72127AC6"/>
    <w:rsid w:val="721C7DF5"/>
    <w:rsid w:val="72693B8A"/>
    <w:rsid w:val="7289740F"/>
    <w:rsid w:val="73730D1A"/>
    <w:rsid w:val="73765CE2"/>
    <w:rsid w:val="743442CC"/>
    <w:rsid w:val="748E5C99"/>
    <w:rsid w:val="74BF2C7A"/>
    <w:rsid w:val="75581306"/>
    <w:rsid w:val="75682D8E"/>
    <w:rsid w:val="75A31161"/>
    <w:rsid w:val="75D25B10"/>
    <w:rsid w:val="75FF20FE"/>
    <w:rsid w:val="763F65D2"/>
    <w:rsid w:val="76442929"/>
    <w:rsid w:val="76946CFC"/>
    <w:rsid w:val="76C27A63"/>
    <w:rsid w:val="776B57F0"/>
    <w:rsid w:val="795409C4"/>
    <w:rsid w:val="7A4F4CB9"/>
    <w:rsid w:val="7A6D2067"/>
    <w:rsid w:val="7A7C169D"/>
    <w:rsid w:val="7AF60F49"/>
    <w:rsid w:val="7BBE3424"/>
    <w:rsid w:val="7BFE58F9"/>
    <w:rsid w:val="7E0328BC"/>
    <w:rsid w:val="7EC06998"/>
    <w:rsid w:val="7ECBFD69"/>
    <w:rsid w:val="7F0A1917"/>
    <w:rsid w:val="7FAC1FBF"/>
    <w:rsid w:val="7FF57E3F"/>
    <w:rsid w:val="7FF90700"/>
    <w:rsid w:val="E9BFDC3E"/>
    <w:rsid w:val="FE6A0E03"/>
    <w:rsid w:val="FE77E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cs="宋体" w:eastAsiaTheme="minorEastAsia"/>
      <w:kern w:val="2"/>
      <w:sz w:val="21"/>
      <w:szCs w:val="18"/>
      <w:lang w:val="en-US" w:eastAsia="zh-CN" w:bidi="ar-SA"/>
    </w:rPr>
  </w:style>
  <w:style w:type="paragraph" w:styleId="3">
    <w:name w:val="heading 1"/>
    <w:basedOn w:val="1"/>
    <w:next w:val="1"/>
    <w:link w:val="33"/>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6">
    <w:name w:val="heading 9"/>
    <w:basedOn w:val="1"/>
    <w:next w:val="1"/>
    <w:link w:val="84"/>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3"/>
    <w:qFormat/>
    <w:uiPriority w:val="0"/>
  </w:style>
  <w:style w:type="paragraph" w:styleId="7">
    <w:name w:val="Normal Indent"/>
    <w:basedOn w:val="1"/>
    <w:next w:val="8"/>
    <w:qFormat/>
    <w:uiPriority w:val="0"/>
    <w:pPr>
      <w:ind w:firstLine="420"/>
    </w:pPr>
  </w:style>
  <w:style w:type="paragraph" w:styleId="8">
    <w:name w:val="envelope return"/>
    <w:basedOn w:val="1"/>
    <w:qFormat/>
    <w:uiPriority w:val="0"/>
    <w:pPr>
      <w:snapToGrid w:val="0"/>
    </w:pPr>
    <w:rPr>
      <w:rFonts w:ascii="Arial" w:hAnsi="Arial" w:eastAsia="仿宋_GB2312"/>
      <w:sz w:val="32"/>
    </w:rPr>
  </w:style>
  <w:style w:type="paragraph" w:styleId="9">
    <w:name w:val="annotation text"/>
    <w:basedOn w:val="1"/>
    <w:link w:val="80"/>
    <w:unhideWhenUsed/>
    <w:qFormat/>
    <w:uiPriority w:val="99"/>
    <w:pPr>
      <w:jc w:val="left"/>
    </w:pPr>
  </w:style>
  <w:style w:type="paragraph" w:styleId="10">
    <w:name w:val="toc 3"/>
    <w:basedOn w:val="1"/>
    <w:next w:val="1"/>
    <w:unhideWhenUsed/>
    <w:qFormat/>
    <w:uiPriority w:val="39"/>
    <w:pPr>
      <w:ind w:left="840" w:leftChars="400"/>
    </w:pPr>
  </w:style>
  <w:style w:type="paragraph" w:styleId="11">
    <w:name w:val="Date"/>
    <w:basedOn w:val="1"/>
    <w:next w:val="1"/>
    <w:link w:val="48"/>
    <w:semiHidden/>
    <w:unhideWhenUsed/>
    <w:qFormat/>
    <w:uiPriority w:val="99"/>
    <w:pPr>
      <w:ind w:left="100" w:leftChars="2500"/>
    </w:pPr>
  </w:style>
  <w:style w:type="paragraph" w:styleId="12">
    <w:name w:val="Body Text Indent 2"/>
    <w:basedOn w:val="1"/>
    <w:link w:val="41"/>
    <w:qFormat/>
    <w:uiPriority w:val="0"/>
    <w:pPr>
      <w:spacing w:line="276" w:lineRule="auto"/>
      <w:ind w:firstLine="420" w:firstLineChars="200"/>
    </w:pPr>
    <w:rPr>
      <w:rFonts w:ascii="宋体" w:hAnsi="宋体" w:eastAsia="宋体" w:cs="Times New Roman"/>
      <w:snapToGrid w:val="0"/>
      <w:kern w:val="0"/>
      <w:szCs w:val="24"/>
    </w:rPr>
  </w:style>
  <w:style w:type="paragraph" w:styleId="13">
    <w:name w:val="Balloon Text"/>
    <w:basedOn w:val="1"/>
    <w:link w:val="29"/>
    <w:semiHidden/>
    <w:unhideWhenUsed/>
    <w:qFormat/>
    <w:uiPriority w:val="99"/>
    <w:rPr>
      <w:sz w:val="18"/>
      <w:szCs w:val="18"/>
    </w:rPr>
  </w:style>
  <w:style w:type="paragraph" w:styleId="14">
    <w:name w:val="footer"/>
    <w:basedOn w:val="1"/>
    <w:link w:val="28"/>
    <w:unhideWhenUsed/>
    <w:qFormat/>
    <w:uiPriority w:val="99"/>
    <w:pPr>
      <w:tabs>
        <w:tab w:val="center" w:pos="4153"/>
        <w:tab w:val="right" w:pos="8306"/>
      </w:tabs>
      <w:snapToGrid w:val="0"/>
      <w:jc w:val="left"/>
    </w:pPr>
    <w:rPr>
      <w:sz w:val="18"/>
      <w:szCs w:val="18"/>
    </w:rPr>
  </w:style>
  <w:style w:type="paragraph" w:styleId="15">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sz w:val="21"/>
    </w:rPr>
  </w:style>
  <w:style w:type="paragraph" w:styleId="17">
    <w:name w:val="Subtitle"/>
    <w:basedOn w:val="1"/>
    <w:next w:val="1"/>
    <w:link w:val="3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toc 2"/>
    <w:basedOn w:val="1"/>
    <w:next w:val="1"/>
    <w:unhideWhenUsed/>
    <w:qFormat/>
    <w:uiPriority w:val="39"/>
    <w:pPr>
      <w:tabs>
        <w:tab w:val="right" w:leader="dot" w:pos="9344"/>
      </w:tabs>
      <w:ind w:left="420" w:leftChars="200"/>
    </w:pPr>
  </w:style>
  <w:style w:type="paragraph" w:styleId="19">
    <w:name w:val="Normal (Web)"/>
    <w:basedOn w:val="1"/>
    <w:qFormat/>
    <w:uiPriority w:val="0"/>
    <w:pPr>
      <w:widowControl/>
      <w:jc w:val="left"/>
      <w:pPrChange w:id="0" w:author="zy" w:date="2024-10-10T14:48:00Z">
        <w:pPr>
          <w:spacing w:before="100" w:beforeAutospacing="1" w:after="100" w:afterAutospacing="1"/>
        </w:pPr>
      </w:pPrChange>
    </w:pPr>
    <w:rPr>
      <w:rFonts w:ascii="黑体" w:hAnsi="黑体" w:eastAsia="黑体" w:cs="宋体"/>
      <w:color w:val="FF0000"/>
      <w:kern w:val="0"/>
      <w:szCs w:val="21"/>
      <w:rPrChange w:id="1" w:author="zy" w:date="2024-10-10T14:48:00Z">
        <w:rPr>
          <w:rFonts w:ascii="宋体" w:hAnsi="宋体" w:eastAsia="宋体" w:cs="宋体"/>
          <w:sz w:val="24"/>
          <w:szCs w:val="24"/>
          <w:lang w:val="en-US" w:eastAsia="zh-CN" w:bidi="ar-SA"/>
        </w:rPr>
      </w:rPrChange>
    </w:rPr>
  </w:style>
  <w:style w:type="paragraph" w:styleId="20">
    <w:name w:val="Title"/>
    <w:basedOn w:val="1"/>
    <w:next w:val="1"/>
    <w:link w:val="38"/>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9"/>
    <w:next w:val="9"/>
    <w:link w:val="81"/>
    <w:semiHidden/>
    <w:unhideWhenUsed/>
    <w:qFormat/>
    <w:uiPriority w:val="99"/>
    <w:rPr>
      <w:b/>
      <w:bCs/>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unhideWhenUsed/>
    <w:qFormat/>
    <w:uiPriority w:val="99"/>
    <w:rPr>
      <w:color w:val="0000FF" w:themeColor="hyperlink"/>
      <w:u w:val="single"/>
      <w14:textFill>
        <w14:solidFill>
          <w14:schemeClr w14:val="hlink"/>
        </w14:solidFill>
      </w14:textFill>
    </w:rPr>
  </w:style>
  <w:style w:type="character" w:styleId="26">
    <w:name w:val="annotation reference"/>
    <w:basedOn w:val="24"/>
    <w:semiHidden/>
    <w:unhideWhenUsed/>
    <w:qFormat/>
    <w:uiPriority w:val="99"/>
    <w:rPr>
      <w:sz w:val="21"/>
      <w:szCs w:val="21"/>
    </w:rPr>
  </w:style>
  <w:style w:type="character" w:customStyle="1" w:styleId="27">
    <w:name w:val="页眉 Char"/>
    <w:basedOn w:val="24"/>
    <w:link w:val="15"/>
    <w:qFormat/>
    <w:uiPriority w:val="99"/>
    <w:rPr>
      <w:sz w:val="18"/>
      <w:szCs w:val="18"/>
    </w:rPr>
  </w:style>
  <w:style w:type="character" w:customStyle="1" w:styleId="28">
    <w:name w:val="页脚 Char"/>
    <w:basedOn w:val="24"/>
    <w:link w:val="14"/>
    <w:qFormat/>
    <w:uiPriority w:val="99"/>
    <w:rPr>
      <w:sz w:val="18"/>
      <w:szCs w:val="18"/>
    </w:rPr>
  </w:style>
  <w:style w:type="character" w:customStyle="1" w:styleId="29">
    <w:name w:val="批注框文本 Char"/>
    <w:basedOn w:val="24"/>
    <w:link w:val="13"/>
    <w:semiHidden/>
    <w:qFormat/>
    <w:uiPriority w:val="99"/>
    <w:rPr>
      <w:sz w:val="18"/>
      <w:szCs w:val="18"/>
    </w:rPr>
  </w:style>
  <w:style w:type="paragraph" w:styleId="30">
    <w:name w:val="List Paragraph"/>
    <w:basedOn w:val="1"/>
    <w:qFormat/>
    <w:uiPriority w:val="99"/>
    <w:pPr>
      <w:ind w:left="425"/>
      <w:pPrChange w:id="2" w:author="JunQi Shao" w:date="2024-10-10T10:59:00Z">
        <w:pPr>
          <w:widowControl w:val="0"/>
          <w:ind w:firstLine="420" w:firstLineChars="200"/>
          <w:jc w:val="both"/>
        </w:pPr>
      </w:pPrChange>
    </w:pPr>
    <w:rPr>
      <w:color w:val="FF0000"/>
      <w:rPrChange w:id="3" w:author="JunQi Shao" w:date="2024-10-10T10:59:00Z">
        <w:rPr>
          <w:rFonts w:asciiTheme="minorHAnsi" w:hAnsiTheme="minorHAnsi" w:eastAsiaTheme="minorEastAsia" w:cstheme="minorBidi"/>
          <w:kern w:val="2"/>
          <w:sz w:val="21"/>
          <w:szCs w:val="22"/>
          <w:lang w:val="en-US" w:eastAsia="zh-CN" w:bidi="ar-SA"/>
        </w:rPr>
      </w:rPrChange>
    </w:rPr>
  </w:style>
  <w:style w:type="paragraph" w:customStyle="1" w:styleId="3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2">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3">
    <w:name w:val="标题 1 Char"/>
    <w:basedOn w:val="24"/>
    <w:link w:val="3"/>
    <w:qFormat/>
    <w:uiPriority w:val="99"/>
    <w:rPr>
      <w:rFonts w:ascii="Calibri" w:hAnsi="Calibri" w:eastAsia="宋体" w:cs="Times New Roman"/>
      <w:b/>
      <w:bCs/>
      <w:kern w:val="44"/>
      <w:sz w:val="44"/>
      <w:szCs w:val="44"/>
    </w:rPr>
  </w:style>
  <w:style w:type="paragraph" w:styleId="3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6">
    <w:name w:val="不明显强调1"/>
    <w:basedOn w:val="24"/>
    <w:qFormat/>
    <w:uiPriority w:val="19"/>
    <w:rPr>
      <w:i/>
      <w:iCs/>
      <w:color w:val="808080" w:themeColor="text1" w:themeTint="80"/>
      <w14:textFill>
        <w14:solidFill>
          <w14:schemeClr w14:val="tx1">
            <w14:lumMod w14:val="50000"/>
            <w14:lumOff w14:val="50000"/>
          </w14:schemeClr>
        </w14:solidFill>
      </w14:textFill>
    </w:rPr>
  </w:style>
  <w:style w:type="character" w:customStyle="1" w:styleId="37">
    <w:name w:val="副标题 Char"/>
    <w:basedOn w:val="24"/>
    <w:link w:val="17"/>
    <w:qFormat/>
    <w:uiPriority w:val="11"/>
    <w:rPr>
      <w:rFonts w:eastAsia="宋体" w:asciiTheme="majorHAnsi" w:hAnsiTheme="majorHAnsi" w:cstheme="majorBidi"/>
      <w:b/>
      <w:bCs/>
      <w:kern w:val="28"/>
      <w:sz w:val="32"/>
      <w:szCs w:val="32"/>
    </w:rPr>
  </w:style>
  <w:style w:type="character" w:customStyle="1" w:styleId="38">
    <w:name w:val="标题 Char"/>
    <w:basedOn w:val="24"/>
    <w:link w:val="20"/>
    <w:qFormat/>
    <w:uiPriority w:val="10"/>
    <w:rPr>
      <w:rFonts w:eastAsia="宋体" w:asciiTheme="majorHAnsi" w:hAnsiTheme="majorHAnsi" w:cstheme="majorBidi"/>
      <w:b/>
      <w:bCs/>
      <w:sz w:val="32"/>
      <w:szCs w:val="32"/>
    </w:rPr>
  </w:style>
  <w:style w:type="character" w:customStyle="1" w:styleId="39">
    <w:name w:val="标题 2 Char"/>
    <w:basedOn w:val="24"/>
    <w:link w:val="4"/>
    <w:qFormat/>
    <w:uiPriority w:val="9"/>
    <w:rPr>
      <w:rFonts w:asciiTheme="majorHAnsi" w:hAnsiTheme="majorHAnsi" w:eastAsiaTheme="majorEastAsia" w:cstheme="majorBidi"/>
      <w:b/>
      <w:bCs/>
      <w:sz w:val="32"/>
      <w:szCs w:val="32"/>
    </w:rPr>
  </w:style>
  <w:style w:type="character" w:customStyle="1" w:styleId="40">
    <w:name w:val="标题 3 Char"/>
    <w:basedOn w:val="24"/>
    <w:link w:val="5"/>
    <w:qFormat/>
    <w:uiPriority w:val="9"/>
    <w:rPr>
      <w:b/>
      <w:bCs/>
      <w:sz w:val="32"/>
      <w:szCs w:val="32"/>
    </w:rPr>
  </w:style>
  <w:style w:type="character" w:customStyle="1" w:styleId="41">
    <w:name w:val="正文文本缩进 2 Char"/>
    <w:basedOn w:val="24"/>
    <w:link w:val="12"/>
    <w:qFormat/>
    <w:uiPriority w:val="0"/>
    <w:rPr>
      <w:rFonts w:ascii="宋体" w:hAnsi="宋体" w:eastAsia="宋体" w:cs="Times New Roman"/>
      <w:snapToGrid w:val="0"/>
      <w:kern w:val="0"/>
      <w:szCs w:val="24"/>
    </w:rPr>
  </w:style>
  <w:style w:type="paragraph" w:customStyle="1" w:styleId="42">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3">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4">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6">
    <w:name w:val="high-light-bg4"/>
    <w:basedOn w:val="24"/>
    <w:qFormat/>
    <w:uiPriority w:val="0"/>
  </w:style>
  <w:style w:type="character" w:customStyle="1" w:styleId="47">
    <w:name w:val="ordinary-span-edit2"/>
    <w:basedOn w:val="24"/>
    <w:qFormat/>
    <w:uiPriority w:val="0"/>
  </w:style>
  <w:style w:type="character" w:customStyle="1" w:styleId="48">
    <w:name w:val="日期 Char"/>
    <w:basedOn w:val="24"/>
    <w:link w:val="11"/>
    <w:semiHidden/>
    <w:qFormat/>
    <w:uiPriority w:val="99"/>
  </w:style>
  <w:style w:type="paragraph" w:customStyle="1" w:styleId="49">
    <w:name w:val="正文1"/>
    <w:qFormat/>
    <w:uiPriority w:val="0"/>
    <w:pPr>
      <w:jc w:val="both"/>
    </w:pPr>
    <w:rPr>
      <w:rFonts w:ascii="Calibri" w:hAnsi="Calibri" w:eastAsia="宋体" w:cs="宋体"/>
      <w:kern w:val="2"/>
      <w:sz w:val="21"/>
      <w:szCs w:val="21"/>
      <w:lang w:val="en-US" w:eastAsia="zh-CN" w:bidi="ar-SA"/>
    </w:rPr>
  </w:style>
  <w:style w:type="character" w:customStyle="1" w:styleId="50">
    <w:name w:val="dash6b63_6587__char1"/>
    <w:qFormat/>
    <w:uiPriority w:val="0"/>
    <w:rPr>
      <w:rFonts w:hint="default" w:ascii="Times New Roman" w:hAnsi="Times New Roman" w:cs="Times New Roman"/>
      <w:sz w:val="20"/>
      <w:szCs w:val="20"/>
      <w:u w:val="none"/>
    </w:rPr>
  </w:style>
  <w:style w:type="paragraph" w:customStyle="1" w:styleId="51">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2">
    <w:name w:val="章标题"/>
    <w:next w:val="53"/>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3">
    <w:name w:val="段"/>
    <w:link w:val="82"/>
    <w:qFormat/>
    <w:uiPriority w:val="0"/>
    <w:pPr>
      <w:widowControl w:val="0"/>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4">
    <w:name w:val="一级条标题"/>
    <w:next w:val="5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5">
    <w:name w:val="二级无"/>
    <w:basedOn w:val="56"/>
    <w:qFormat/>
    <w:uiPriority w:val="0"/>
    <w:pPr>
      <w:spacing w:before="0" w:beforeLines="0" w:after="0" w:afterLines="0"/>
    </w:pPr>
    <w:rPr>
      <w:rFonts w:ascii="宋体" w:eastAsia="宋体"/>
    </w:rPr>
  </w:style>
  <w:style w:type="paragraph" w:customStyle="1" w:styleId="56">
    <w:name w:val="二级条标题"/>
    <w:basedOn w:val="54"/>
    <w:next w:val="53"/>
    <w:qFormat/>
    <w:uiPriority w:val="0"/>
    <w:pPr>
      <w:numPr>
        <w:ilvl w:val="2"/>
      </w:numPr>
      <w:spacing w:before="50" w:after="50"/>
      <w:outlineLvl w:val="3"/>
    </w:pPr>
  </w:style>
  <w:style w:type="paragraph" w:customStyle="1" w:styleId="57">
    <w:name w:val="字母编号列项（一级）"/>
    <w:qFormat/>
    <w:uiPriority w:val="0"/>
    <w:pPr>
      <w:numPr>
        <w:ilvl w:val="0"/>
        <w:numId w:val="3"/>
      </w:numPr>
      <w:tabs>
        <w:tab w:val="left" w:pos="840"/>
      </w:tabs>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9">
    <w:name w:val="注：（正文）"/>
    <w:basedOn w:val="60"/>
    <w:next w:val="53"/>
    <w:qFormat/>
    <w:uiPriority w:val="0"/>
  </w:style>
  <w:style w:type="paragraph" w:customStyle="1" w:styleId="60">
    <w:name w:val="注："/>
    <w:next w:val="53"/>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61">
    <w:name w:val="附录标识"/>
    <w:basedOn w:val="1"/>
    <w:next w:val="53"/>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2">
    <w:name w:val="正文表标题"/>
    <w:next w:val="53"/>
    <w:qFormat/>
    <w:uiPriority w:val="0"/>
    <w:pPr>
      <w:numPr>
        <w:ilvl w:val="0"/>
        <w:numId w:val="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3">
    <w:name w:val="Other|1"/>
    <w:basedOn w:val="1"/>
    <w:qFormat/>
    <w:uiPriority w:val="0"/>
    <w:rPr>
      <w:rFonts w:ascii="宋体" w:hAnsi="宋体" w:cs="宋体"/>
      <w:sz w:val="19"/>
      <w:szCs w:val="19"/>
      <w:lang w:val="zh-CN" w:bidi="zh-CN"/>
    </w:rPr>
  </w:style>
  <w:style w:type="paragraph" w:customStyle="1" w:styleId="64">
    <w:name w:val="终结线"/>
    <w:basedOn w:val="1"/>
    <w:qFormat/>
    <w:uiPriority w:val="0"/>
    <w:pPr>
      <w:framePr w:hSpace="181" w:vSpace="181" w:wrap="around" w:vAnchor="text" w:hAnchor="margin" w:xAlign="center" w:y="285"/>
    </w:pPr>
  </w:style>
  <w:style w:type="paragraph" w:customStyle="1" w:styleId="65">
    <w:name w:val="标准文件_术语条一"/>
    <w:basedOn w:val="66"/>
    <w:next w:val="69"/>
    <w:qFormat/>
    <w:uiPriority w:val="0"/>
  </w:style>
  <w:style w:type="paragraph" w:customStyle="1" w:styleId="66">
    <w:name w:val="标准文件_一级无标题"/>
    <w:basedOn w:val="67"/>
    <w:qFormat/>
    <w:uiPriority w:val="0"/>
    <w:pPr>
      <w:spacing w:before="0" w:beforeLines="0" w:after="0" w:afterLines="0"/>
      <w:outlineLvl w:val="9"/>
    </w:pPr>
    <w:rPr>
      <w:rFonts w:ascii="宋体" w:eastAsia="宋体"/>
    </w:rPr>
  </w:style>
  <w:style w:type="paragraph" w:customStyle="1" w:styleId="67">
    <w:name w:val="标准文件_一级条标题"/>
    <w:basedOn w:val="68"/>
    <w:next w:val="69"/>
    <w:qFormat/>
    <w:uiPriority w:val="0"/>
    <w:pPr>
      <w:numPr>
        <w:ilvl w:val="2"/>
      </w:numPr>
      <w:spacing w:before="50" w:beforeLines="50" w:after="50" w:afterLines="50"/>
      <w:outlineLvl w:val="1"/>
    </w:pPr>
  </w:style>
  <w:style w:type="paragraph" w:customStyle="1" w:styleId="68">
    <w:name w:val="标准文件_章标题"/>
    <w:next w:val="69"/>
    <w:qFormat/>
    <w:uiPriority w:val="0"/>
    <w:pPr>
      <w:numPr>
        <w:ilvl w:val="1"/>
        <w:numId w:val="7"/>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9">
    <w:name w:val="标准文件_段"/>
    <w:qFormat/>
    <w:uiPriority w:val="0"/>
    <w:pPr>
      <w:autoSpaceDE w:val="0"/>
      <w:autoSpaceDN w:val="0"/>
      <w:ind w:left="840" w:leftChars="200" w:hanging="420" w:hangingChars="200"/>
      <w:jc w:val="both"/>
    </w:pPr>
    <w:rPr>
      <w:rFonts w:ascii="宋体" w:hAnsi="Times New Roman" w:eastAsia="宋体" w:cs="Times New Roman"/>
      <w:sz w:val="21"/>
      <w:lang w:val="en-US" w:eastAsia="zh-CN" w:bidi="ar-SA"/>
    </w:rPr>
  </w:style>
  <w:style w:type="paragraph" w:customStyle="1" w:styleId="70">
    <w:name w:val="标准文件_二级无标题"/>
    <w:basedOn w:val="71"/>
    <w:qFormat/>
    <w:uiPriority w:val="0"/>
    <w:pPr>
      <w:spacing w:before="0" w:beforeLines="0" w:after="0" w:afterLines="0"/>
      <w:outlineLvl w:val="9"/>
    </w:pPr>
    <w:rPr>
      <w:rFonts w:ascii="宋体" w:eastAsia="宋体"/>
    </w:rPr>
  </w:style>
  <w:style w:type="paragraph" w:customStyle="1" w:styleId="71">
    <w:name w:val="标准文件_二级条标题"/>
    <w:next w:val="69"/>
    <w:qFormat/>
    <w:uiPriority w:val="0"/>
    <w:pPr>
      <w:widowControl w:val="0"/>
      <w:numPr>
        <w:ilvl w:val="3"/>
        <w:numId w:val="7"/>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4">
    <w:name w:val="说明文字"/>
    <w:basedOn w:val="1"/>
    <w:qFormat/>
    <w:uiPriority w:val="0"/>
  </w:style>
  <w:style w:type="paragraph" w:customStyle="1" w:styleId="75">
    <w:name w:val="标准文件_附录一级条标题"/>
    <w:next w:val="69"/>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6">
    <w:name w:val="标准文件_附录图标题"/>
    <w:next w:val="69"/>
    <w:qFormat/>
    <w:uiPriority w:val="0"/>
    <w:pPr>
      <w:numPr>
        <w:ilvl w:val="1"/>
        <w:numId w:val="8"/>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7">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8">
    <w:name w:val="标准文件_表格"/>
    <w:basedOn w:val="69"/>
    <w:qFormat/>
    <w:uiPriority w:val="0"/>
    <w:pPr>
      <w:ind w:firstLine="0" w:firstLineChars="0"/>
      <w:jc w:val="center"/>
    </w:pPr>
    <w:rPr>
      <w:sz w:val="18"/>
    </w:rPr>
  </w:style>
  <w:style w:type="paragraph" w:customStyle="1" w:styleId="79">
    <w:name w:val="标准文件_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character" w:customStyle="1" w:styleId="80">
    <w:name w:val="批注文字 Char"/>
    <w:basedOn w:val="24"/>
    <w:link w:val="9"/>
    <w:qFormat/>
    <w:uiPriority w:val="99"/>
    <w:rPr>
      <w:rFonts w:asciiTheme="minorHAnsi" w:hAnsiTheme="minorHAnsi" w:eastAsiaTheme="minorEastAsia" w:cstheme="minorBidi"/>
      <w:kern w:val="2"/>
      <w:sz w:val="21"/>
      <w:szCs w:val="22"/>
    </w:rPr>
  </w:style>
  <w:style w:type="character" w:customStyle="1" w:styleId="81">
    <w:name w:val="批注主题 Char"/>
    <w:basedOn w:val="80"/>
    <w:link w:val="21"/>
    <w:semiHidden/>
    <w:qFormat/>
    <w:uiPriority w:val="99"/>
    <w:rPr>
      <w:rFonts w:asciiTheme="minorHAnsi" w:hAnsiTheme="minorHAnsi" w:eastAsiaTheme="minorEastAsia" w:cstheme="minorBidi"/>
      <w:b/>
      <w:bCs/>
      <w:kern w:val="2"/>
      <w:sz w:val="21"/>
      <w:szCs w:val="22"/>
    </w:rPr>
  </w:style>
  <w:style w:type="character" w:customStyle="1" w:styleId="82">
    <w:name w:val="段 Char"/>
    <w:link w:val="53"/>
    <w:qFormat/>
    <w:uiPriority w:val="0"/>
    <w:rPr>
      <w:rFonts w:ascii="宋体"/>
      <w:sz w:val="21"/>
    </w:rPr>
  </w:style>
  <w:style w:type="character" w:customStyle="1" w:styleId="83">
    <w:name w:val="正文文本 Char"/>
    <w:basedOn w:val="24"/>
    <w:link w:val="2"/>
    <w:qFormat/>
    <w:uiPriority w:val="0"/>
    <w:rPr>
      <w:rFonts w:asciiTheme="minorHAnsi" w:hAnsiTheme="minorHAnsi" w:eastAsiaTheme="minorEastAsia" w:cstheme="minorBidi"/>
      <w:kern w:val="2"/>
      <w:sz w:val="21"/>
      <w:szCs w:val="22"/>
    </w:rPr>
  </w:style>
  <w:style w:type="character" w:customStyle="1" w:styleId="84">
    <w:name w:val="标题 9 Char"/>
    <w:basedOn w:val="24"/>
    <w:link w:val="6"/>
    <w:semiHidden/>
    <w:qFormat/>
    <w:uiPriority w:val="9"/>
    <w:rPr>
      <w:rFonts w:asciiTheme="majorHAnsi" w:hAnsiTheme="majorHAnsi" w:eastAsiaTheme="majorEastAsia" w:cstheme="majorBidi"/>
      <w:kern w:val="2"/>
      <w:sz w:val="21"/>
      <w:szCs w:val="21"/>
    </w:rPr>
  </w:style>
  <w:style w:type="paragraph" w:customStyle="1" w:styleId="85">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20</Pages>
  <Words>4105</Words>
  <Characters>4306</Characters>
  <Lines>89</Lines>
  <Paragraphs>25</Paragraphs>
  <TotalTime>12</TotalTime>
  <ScaleCrop>false</ScaleCrop>
  <LinksUpToDate>false</LinksUpToDate>
  <CharactersWithSpaces>4611</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2024-10-10T14:21:00Z</dcterms:created>
  <dc:creator>wy</dc:creator>
  <cp:lastModifiedBy>sugou</cp:lastModifiedBy>
  <cp:lastPrinted>2024-10-15T15:24:00Z</cp:lastPrinted>
  <dcterms:modified xsi:type="dcterms:W3CDTF">2024-11-17T10:19:32Z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5B4A778E874A4465A9F16101F558B47D_13</vt:lpwstr>
  </property>
</Properties>
</file>